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2EA0B" w14:textId="76A4AFF2" w:rsidR="002A1E63" w:rsidRDefault="00295270">
      <w:pPr>
        <w:pStyle w:val="a4"/>
        <w:rPr>
          <w:b w:val="0"/>
          <w:sz w:val="13"/>
        </w:rPr>
      </w:pPr>
      <w:bookmarkStart w:id="0" w:name="_GoBack"/>
      <w:r>
        <w:t>Ключевая</w:t>
      </w:r>
      <w:r>
        <w:rPr>
          <w:spacing w:val="-3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 договоре о</w:t>
      </w:r>
      <w:r>
        <w:rPr>
          <w:spacing w:val="-1"/>
        </w:rPr>
        <w:t xml:space="preserve"> </w:t>
      </w:r>
      <w:r>
        <w:t xml:space="preserve">брокерском </w:t>
      </w:r>
      <w:r>
        <w:rPr>
          <w:spacing w:val="-2"/>
        </w:rPr>
        <w:t>обслуживании</w:t>
      </w:r>
    </w:p>
    <w:bookmarkEnd w:id="0"/>
    <w:p w14:paraId="3179624B" w14:textId="77777777" w:rsidR="002A1E63" w:rsidRDefault="00295270">
      <w:pPr>
        <w:pStyle w:val="a0"/>
        <w:spacing w:before="168"/>
        <w:ind w:left="255" w:right="103" w:firstLine="424"/>
        <w:jc w:val="both"/>
      </w:pPr>
      <w:r>
        <w:t>Предоставляемый перечень информации о договоре о брокерском обслуживании является минимальным, не заменяет собой все условия договора о брокерском обслуживании, а также необходимость ознакомиться с полным текстом договора о брокерском обслуживании.</w:t>
      </w:r>
    </w:p>
    <w:p w14:paraId="18BC96DD" w14:textId="77777777" w:rsidR="002A1E63" w:rsidRDefault="00295270">
      <w:pPr>
        <w:pStyle w:val="a0"/>
        <w:ind w:left="255" w:right="105" w:firstLine="424"/>
        <w:jc w:val="both"/>
      </w:pPr>
      <w:r>
        <w:t>Договор о брокерском обслуживании не является вкладом. Средства, размещенные на брокерском счете, не застрахованы (не гарантированы) государством. Вы можете потерять все, что вложили, а в некоторых случаях – остаться должны. В случае потерь компенсаций не предусмотрено. Доход не гарантирован.</w:t>
      </w:r>
    </w:p>
    <w:p w14:paraId="15F457EE" w14:textId="77777777" w:rsidR="002A1E63" w:rsidRDefault="00295270">
      <w:pPr>
        <w:pStyle w:val="a0"/>
        <w:ind w:left="255" w:right="15" w:firstLine="424"/>
      </w:pPr>
      <w:r>
        <w:t>Ознакомьтесь с декларациями о рисках, связанных с совершением операций на рынке ценных</w:t>
      </w:r>
      <w:r>
        <w:rPr>
          <w:spacing w:val="-2"/>
        </w:rPr>
        <w:t xml:space="preserve"> </w:t>
      </w:r>
      <w:r>
        <w:t>бумаг,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брокер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предоставить</w:t>
      </w:r>
      <w:r>
        <w:rPr>
          <w:spacing w:val="-1"/>
        </w:rPr>
        <w:t xml:space="preserve"> </w:t>
      </w:r>
      <w:r>
        <w:t>Вам</w:t>
      </w:r>
      <w:r>
        <w:rPr>
          <w:spacing w:val="-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 xml:space="preserve">брокерском </w:t>
      </w:r>
      <w:r>
        <w:rPr>
          <w:spacing w:val="-2"/>
        </w:rPr>
        <w:t>обслуживании.</w:t>
      </w:r>
    </w:p>
    <w:p w14:paraId="59DE0F6A" w14:textId="77777777" w:rsidR="002A1E63" w:rsidRDefault="002A1E63">
      <w:pPr>
        <w:pStyle w:val="a0"/>
        <w:spacing w:before="5" w:after="1"/>
      </w:pPr>
    </w:p>
    <w:tbl>
      <w:tblPr>
        <w:tblStyle w:val="TableNormal"/>
        <w:tblW w:w="1022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48"/>
        <w:gridCol w:w="8221"/>
      </w:tblGrid>
      <w:tr w:rsidR="002A1E63" w14:paraId="28317D56" w14:textId="77777777" w:rsidTr="009B29FD">
        <w:trPr>
          <w:trHeight w:val="1690"/>
        </w:trPr>
        <w:tc>
          <w:tcPr>
            <w:tcW w:w="456" w:type="dxa"/>
          </w:tcPr>
          <w:p w14:paraId="37023A10" w14:textId="77777777" w:rsidR="002A1E63" w:rsidRDefault="00295270">
            <w:pPr>
              <w:pStyle w:val="TableParagraph"/>
              <w:spacing w:line="202" w:lineRule="exact"/>
              <w:ind w:left="0" w:right="1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48" w:type="dxa"/>
          </w:tcPr>
          <w:p w14:paraId="6B7A4882" w14:textId="77777777" w:rsidR="002A1E63" w:rsidRDefault="0029527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договора</w:t>
            </w:r>
          </w:p>
        </w:tc>
        <w:tc>
          <w:tcPr>
            <w:tcW w:w="8221" w:type="dxa"/>
          </w:tcPr>
          <w:p w14:paraId="5378F6DC" w14:textId="77777777" w:rsidR="003B0AC9" w:rsidRDefault="003B0AC9" w:rsidP="001F7B16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 xml:space="preserve">Предметом договора о брокерском обслуживании является оказание </w:t>
            </w:r>
            <w:r>
              <w:rPr>
                <w:sz w:val="24"/>
              </w:rPr>
              <w:t xml:space="preserve"> </w:t>
            </w:r>
          </w:p>
          <w:p w14:paraId="79AD1EE3" w14:textId="77777777" w:rsidR="003B0AC9" w:rsidRDefault="003B0AC9" w:rsidP="001F7B16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услуг</w:t>
            </w:r>
            <w:r w:rsidR="00295270">
              <w:rPr>
                <w:spacing w:val="-5"/>
                <w:sz w:val="24"/>
              </w:rPr>
              <w:t xml:space="preserve"> </w:t>
            </w:r>
            <w:r w:rsidR="00295270">
              <w:rPr>
                <w:sz w:val="24"/>
              </w:rPr>
              <w:t>по</w:t>
            </w:r>
            <w:r w:rsidR="00295270">
              <w:rPr>
                <w:spacing w:val="-5"/>
                <w:sz w:val="24"/>
              </w:rPr>
              <w:t xml:space="preserve"> </w:t>
            </w:r>
            <w:r w:rsidR="00295270">
              <w:rPr>
                <w:sz w:val="24"/>
              </w:rPr>
              <w:t>исполнению</w:t>
            </w:r>
            <w:r w:rsidR="00295270">
              <w:rPr>
                <w:spacing w:val="-5"/>
                <w:sz w:val="24"/>
              </w:rPr>
              <w:t xml:space="preserve"> </w:t>
            </w:r>
            <w:r w:rsidR="00295270">
              <w:rPr>
                <w:sz w:val="24"/>
              </w:rPr>
              <w:t>поручений</w:t>
            </w:r>
            <w:r w:rsidR="00295270">
              <w:rPr>
                <w:spacing w:val="-3"/>
                <w:sz w:val="24"/>
              </w:rPr>
              <w:t xml:space="preserve"> </w:t>
            </w:r>
            <w:r w:rsidR="00295270">
              <w:rPr>
                <w:sz w:val="24"/>
              </w:rPr>
              <w:t>клиента</w:t>
            </w:r>
            <w:r w:rsidR="00295270">
              <w:rPr>
                <w:spacing w:val="-5"/>
                <w:sz w:val="24"/>
              </w:rPr>
              <w:t xml:space="preserve"> </w:t>
            </w:r>
            <w:r w:rsidR="00295270">
              <w:rPr>
                <w:sz w:val="24"/>
              </w:rPr>
              <w:t>на</w:t>
            </w:r>
            <w:r w:rsidR="00295270">
              <w:rPr>
                <w:spacing w:val="-5"/>
                <w:sz w:val="24"/>
              </w:rPr>
              <w:t xml:space="preserve"> </w:t>
            </w:r>
            <w:r w:rsidR="00295270">
              <w:rPr>
                <w:sz w:val="24"/>
              </w:rPr>
              <w:t>совершение</w:t>
            </w:r>
            <w:r w:rsidR="00295270">
              <w:rPr>
                <w:spacing w:val="-8"/>
                <w:sz w:val="24"/>
              </w:rPr>
              <w:t xml:space="preserve"> </w:t>
            </w:r>
            <w:r w:rsidR="00295270">
              <w:rPr>
                <w:sz w:val="24"/>
              </w:rPr>
              <w:t>гражданско</w:t>
            </w:r>
            <w:r w:rsidR="00295270">
              <w:rPr>
                <w:spacing w:val="-5"/>
                <w:sz w:val="24"/>
              </w:rPr>
              <w:t xml:space="preserve"> </w:t>
            </w:r>
            <w:r w:rsidR="00295270">
              <w:rPr>
                <w:sz w:val="24"/>
              </w:rPr>
              <w:t xml:space="preserve">– </w:t>
            </w:r>
          </w:p>
          <w:p w14:paraId="40CF4A67" w14:textId="77777777" w:rsidR="003B0AC9" w:rsidRDefault="003B0AC9" w:rsidP="001F7B16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правовых сделок с ценными бумагами</w:t>
            </w:r>
            <w:r w:rsidR="00ED2C82">
              <w:rPr>
                <w:sz w:val="24"/>
              </w:rPr>
              <w:t xml:space="preserve"> и (или) иностранной валютой</w:t>
            </w:r>
            <w:r w:rsidR="00295270">
              <w:rPr>
                <w:sz w:val="24"/>
              </w:rPr>
              <w:t xml:space="preserve"> и </w:t>
            </w:r>
          </w:p>
          <w:p w14:paraId="7BFB90BF" w14:textId="77777777" w:rsidR="003B0AC9" w:rsidRDefault="003B0AC9" w:rsidP="001F7B16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 xml:space="preserve">(или) на заключение договоров, являющихся производными </w:t>
            </w:r>
          </w:p>
          <w:p w14:paraId="54E5D2ED" w14:textId="77777777" w:rsidR="003B0AC9" w:rsidRDefault="003B0AC9" w:rsidP="001F7B16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 xml:space="preserve">финансовыми инструментами (ПФИ). Ознакомиться с условиями </w:t>
            </w:r>
            <w:r>
              <w:rPr>
                <w:sz w:val="24"/>
              </w:rPr>
              <w:t xml:space="preserve"> </w:t>
            </w:r>
          </w:p>
          <w:p w14:paraId="4D3C951E" w14:textId="7ACD7F53" w:rsidR="002A1E63" w:rsidRDefault="003B0AC9" w:rsidP="001F7B16">
            <w:pPr>
              <w:pStyle w:val="TableParagraph"/>
              <w:ind w:left="84" w:hanging="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договора Вы можете на сайте</w:t>
            </w:r>
            <w:r>
              <w:rPr>
                <w:sz w:val="24"/>
              </w:rPr>
              <w:t xml:space="preserve"> Банка</w:t>
            </w:r>
            <w:r w:rsidRPr="006D69CE">
              <w:rPr>
                <w:sz w:val="24"/>
              </w:rPr>
              <w:t xml:space="preserve"> </w:t>
            </w:r>
            <w:r>
              <w:rPr>
                <w:sz w:val="24"/>
              </w:rPr>
              <w:t>в разделе</w:t>
            </w:r>
            <w:r w:rsidR="00D7587A">
              <w:rPr>
                <w:sz w:val="24"/>
              </w:rPr>
              <w:t xml:space="preserve"> </w:t>
            </w:r>
            <w:hyperlink r:id="rId8" w:history="1">
              <w:r w:rsidR="00597F27">
                <w:rPr>
                  <w:rStyle w:val="ad"/>
                </w:rPr>
                <w:t>Брокерское обслуживание (1cb.ru)</w:t>
              </w:r>
            </w:hyperlink>
            <w:r w:rsidR="002B0F75">
              <w:rPr>
                <w:rStyle w:val="ad"/>
              </w:rPr>
              <w:t>.</w:t>
            </w:r>
          </w:p>
        </w:tc>
      </w:tr>
      <w:tr w:rsidR="002A1E63" w14:paraId="3AA6831E" w14:textId="77777777" w:rsidTr="009B29FD">
        <w:trPr>
          <w:trHeight w:val="850"/>
        </w:trPr>
        <w:tc>
          <w:tcPr>
            <w:tcW w:w="456" w:type="dxa"/>
          </w:tcPr>
          <w:p w14:paraId="0DA21321" w14:textId="77777777" w:rsidR="002A1E63" w:rsidRDefault="00295270">
            <w:pPr>
              <w:pStyle w:val="TableParagraph"/>
              <w:spacing w:line="202" w:lineRule="exact"/>
              <w:ind w:left="0" w:right="17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48" w:type="dxa"/>
          </w:tcPr>
          <w:p w14:paraId="1DC48606" w14:textId="77777777" w:rsidR="002A1E63" w:rsidRDefault="0029527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договора</w:t>
            </w:r>
          </w:p>
        </w:tc>
        <w:tc>
          <w:tcPr>
            <w:tcW w:w="8221" w:type="dxa"/>
          </w:tcPr>
          <w:p w14:paraId="3733007D" w14:textId="54DF3ADC" w:rsidR="002A1E63" w:rsidRDefault="00295270" w:rsidP="001F7B16">
            <w:pPr>
              <w:pStyle w:val="TableParagraph"/>
              <w:ind w:right="21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Брокер</w:t>
            </w:r>
            <w:r w:rsidRPr="00CB6C98">
              <w:rPr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 w:rsidRPr="00CB6C9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CB6C98">
              <w:rPr>
                <w:sz w:val="24"/>
              </w:rPr>
              <w:t xml:space="preserve"> </w:t>
            </w:r>
            <w:r>
              <w:rPr>
                <w:sz w:val="24"/>
              </w:rPr>
              <w:t>одностороннем</w:t>
            </w:r>
            <w:r w:rsidRPr="00CB6C98">
              <w:rPr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 w:rsidRPr="00CB6C98">
              <w:rPr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 w:rsidRPr="00CB6C98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 w:rsidRPr="00CB6C9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CB6C98">
              <w:rPr>
                <w:sz w:val="24"/>
              </w:rPr>
              <w:t xml:space="preserve"> </w:t>
            </w:r>
            <w:r>
              <w:rPr>
                <w:sz w:val="24"/>
              </w:rPr>
              <w:t>договор о брокерском обслуживании, в том числе в тарифы. Такие изменения публикуются на сайте</w:t>
            </w:r>
            <w:r w:rsidR="00355947">
              <w:rPr>
                <w:sz w:val="24"/>
              </w:rPr>
              <w:t xml:space="preserve"> Банка</w:t>
            </w:r>
            <w:r w:rsidR="00355947" w:rsidRPr="006D69CE">
              <w:rPr>
                <w:sz w:val="24"/>
              </w:rPr>
              <w:t xml:space="preserve"> </w:t>
            </w:r>
            <w:r w:rsidR="00355947">
              <w:rPr>
                <w:sz w:val="24"/>
              </w:rPr>
              <w:t>в</w:t>
            </w:r>
            <w:r w:rsidR="00D72D01">
              <w:rPr>
                <w:sz w:val="24"/>
              </w:rPr>
              <w:t xml:space="preserve"> разделе </w:t>
            </w:r>
            <w:hyperlink r:id="rId9" w:history="1">
              <w:r w:rsidR="007B6BB5">
                <w:rPr>
                  <w:rStyle w:val="ad"/>
                </w:rPr>
                <w:t>Брокерское обслуживание (1cb.ru)</w:t>
              </w:r>
            </w:hyperlink>
            <w:r w:rsidR="002B0F75">
              <w:rPr>
                <w:rStyle w:val="ad"/>
              </w:rPr>
              <w:t>.</w:t>
            </w:r>
          </w:p>
        </w:tc>
      </w:tr>
      <w:tr w:rsidR="002A1E63" w14:paraId="6FFDF61D" w14:textId="77777777" w:rsidTr="009B29FD">
        <w:trPr>
          <w:trHeight w:val="1400"/>
        </w:trPr>
        <w:tc>
          <w:tcPr>
            <w:tcW w:w="456" w:type="dxa"/>
          </w:tcPr>
          <w:p w14:paraId="2100E939" w14:textId="77777777" w:rsidR="002A1E63" w:rsidRDefault="00295270">
            <w:pPr>
              <w:pStyle w:val="TableParagraph"/>
              <w:spacing w:line="202" w:lineRule="exact"/>
              <w:ind w:left="0" w:right="174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48" w:type="dxa"/>
          </w:tcPr>
          <w:p w14:paraId="3AFFE295" w14:textId="77777777" w:rsidR="002A1E63" w:rsidRDefault="00295270">
            <w:pPr>
              <w:pStyle w:val="TableParagraph"/>
              <w:ind w:left="105" w:right="220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заключения </w:t>
            </w:r>
            <w:r>
              <w:rPr>
                <w:spacing w:val="-2"/>
                <w:sz w:val="20"/>
              </w:rPr>
              <w:t>договора</w:t>
            </w:r>
          </w:p>
        </w:tc>
        <w:tc>
          <w:tcPr>
            <w:tcW w:w="8221" w:type="dxa"/>
          </w:tcPr>
          <w:p w14:paraId="4003E1E5" w14:textId="7D6872F7" w:rsidR="002A1E63" w:rsidRDefault="00295270" w:rsidP="00B85B53">
            <w:pPr>
              <w:pStyle w:val="TableParagraph"/>
              <w:ind w:right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Договор о брокерском обслуживании заключается путем </w:t>
            </w:r>
            <w:r w:rsidR="00C73A25" w:rsidRPr="00CB6C98">
              <w:rPr>
                <w:sz w:val="24"/>
              </w:rPr>
              <w:t xml:space="preserve">простого </w:t>
            </w:r>
            <w:r>
              <w:rPr>
                <w:sz w:val="24"/>
              </w:rPr>
              <w:t>присоединения</w:t>
            </w:r>
            <w:r w:rsidRPr="00CB6C9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CB6C98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 w:rsidR="00C73A25">
              <w:rPr>
                <w:sz w:val="24"/>
              </w:rPr>
              <w:t xml:space="preserve"> (акцепта)</w:t>
            </w:r>
            <w:r w:rsidRPr="00CB6C98">
              <w:rPr>
                <w:sz w:val="24"/>
              </w:rPr>
              <w:t xml:space="preserve"> </w:t>
            </w:r>
            <w:r w:rsidR="00BE7493" w:rsidRPr="00CB6C98">
              <w:rPr>
                <w:sz w:val="24"/>
              </w:rPr>
              <w:t>Регламента оказания услуг на финансовых рынках</w:t>
            </w:r>
            <w:r w:rsidRPr="00CB6C98">
              <w:rPr>
                <w:sz w:val="24"/>
              </w:rPr>
              <w:t xml:space="preserve"> </w:t>
            </w:r>
            <w:r w:rsidR="00BE7493" w:rsidRPr="00CB6C98">
              <w:rPr>
                <w:sz w:val="24"/>
              </w:rPr>
              <w:t>ООО «Первый Клиентский Банк»</w:t>
            </w:r>
            <w:r w:rsidR="00954669" w:rsidRPr="00CB6C9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CB6C98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Pr="00CB6C98">
              <w:rPr>
                <w:sz w:val="24"/>
              </w:rPr>
              <w:t xml:space="preserve"> </w:t>
            </w:r>
            <w:r w:rsidR="00B85B53">
              <w:rPr>
                <w:sz w:val="24"/>
              </w:rPr>
              <w:t>со ст.</w:t>
            </w:r>
            <w:r>
              <w:rPr>
                <w:sz w:val="24"/>
              </w:rPr>
              <w:t xml:space="preserve">428 Гражданского кодекса Российской Федерации </w:t>
            </w:r>
            <w:r w:rsidR="00B85B53">
              <w:rPr>
                <w:sz w:val="24"/>
              </w:rPr>
              <w:t xml:space="preserve">по форме приложений </w:t>
            </w:r>
            <w:r w:rsidRPr="00CB6C98">
              <w:rPr>
                <w:sz w:val="24"/>
              </w:rPr>
              <w:t>1а,1б</w:t>
            </w:r>
            <w:r w:rsidR="00CB6C98">
              <w:rPr>
                <w:sz w:val="24"/>
              </w:rPr>
              <w:t xml:space="preserve"> публикуются на сайте</w:t>
            </w:r>
            <w:r w:rsidR="006C061A">
              <w:rPr>
                <w:sz w:val="24"/>
              </w:rPr>
              <w:t xml:space="preserve"> Банка</w:t>
            </w:r>
            <w:r w:rsidR="006C061A" w:rsidRPr="006D69CE">
              <w:rPr>
                <w:sz w:val="24"/>
              </w:rPr>
              <w:t xml:space="preserve"> </w:t>
            </w:r>
            <w:r w:rsidR="006C061A">
              <w:rPr>
                <w:sz w:val="24"/>
              </w:rPr>
              <w:t xml:space="preserve">в разделе </w:t>
            </w:r>
            <w:hyperlink r:id="rId10" w:history="1">
              <w:r w:rsidR="004B1BD8">
                <w:rPr>
                  <w:rStyle w:val="ad"/>
                </w:rPr>
                <w:t>Брокерское обслуживание</w:t>
              </w:r>
              <w:r w:rsidR="00A06A47">
                <w:rPr>
                  <w:rStyle w:val="ad"/>
                </w:rPr>
                <w:t xml:space="preserve"> </w:t>
              </w:r>
              <w:r w:rsidR="004B1BD8">
                <w:rPr>
                  <w:rStyle w:val="ad"/>
                </w:rPr>
                <w:t>(1cb.ru)</w:t>
              </w:r>
            </w:hyperlink>
            <w:r w:rsidR="002B0F75">
              <w:rPr>
                <w:rStyle w:val="ad"/>
              </w:rPr>
              <w:t>.</w:t>
            </w:r>
          </w:p>
        </w:tc>
      </w:tr>
      <w:tr w:rsidR="002A1E63" w14:paraId="366196C5" w14:textId="77777777" w:rsidTr="009B29FD">
        <w:trPr>
          <w:trHeight w:val="842"/>
        </w:trPr>
        <w:tc>
          <w:tcPr>
            <w:tcW w:w="456" w:type="dxa"/>
          </w:tcPr>
          <w:p w14:paraId="7CD7B443" w14:textId="77777777" w:rsidR="002A1E63" w:rsidRDefault="00295270">
            <w:pPr>
              <w:pStyle w:val="TableParagraph"/>
              <w:spacing w:line="202" w:lineRule="exact"/>
              <w:ind w:left="0" w:right="174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48" w:type="dxa"/>
          </w:tcPr>
          <w:p w14:paraId="7A2B66BF" w14:textId="77777777" w:rsidR="002A1E63" w:rsidRDefault="0029527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Тарифы</w:t>
            </w:r>
          </w:p>
        </w:tc>
        <w:tc>
          <w:tcPr>
            <w:tcW w:w="8221" w:type="dxa"/>
          </w:tcPr>
          <w:p w14:paraId="6E11A9B1" w14:textId="54EB9C05" w:rsidR="002A1E63" w:rsidRPr="00410F5E" w:rsidRDefault="00C42851" w:rsidP="00F90F09">
            <w:pPr>
              <w:pStyle w:val="TableParagraph"/>
              <w:spacing w:line="270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За</w:t>
            </w:r>
            <w:r w:rsidR="00295270" w:rsidRPr="00410F5E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оказание</w:t>
            </w:r>
            <w:r w:rsidR="00295270" w:rsidRPr="00410F5E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услуг</w:t>
            </w:r>
            <w:r w:rsidR="00295270" w:rsidRPr="00410F5E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взимается</w:t>
            </w:r>
            <w:r w:rsidR="00295270" w:rsidRPr="00410F5E">
              <w:rPr>
                <w:sz w:val="24"/>
              </w:rPr>
              <w:t xml:space="preserve"> плата.</w:t>
            </w:r>
          </w:p>
          <w:p w14:paraId="45D3E2BC" w14:textId="77777777" w:rsidR="005501B6" w:rsidRDefault="00933A52" w:rsidP="00F90F0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37DBF" w:rsidRPr="00F21D4D">
              <w:rPr>
                <w:sz w:val="24"/>
              </w:rPr>
              <w:t xml:space="preserve">Приложение № 4: ТАРИФЫ </w:t>
            </w:r>
            <w:r w:rsidR="00D13D33">
              <w:rPr>
                <w:sz w:val="24"/>
              </w:rPr>
              <w:t>публикуются на сайте</w:t>
            </w:r>
            <w:r w:rsidR="00A458A7">
              <w:rPr>
                <w:sz w:val="24"/>
              </w:rPr>
              <w:t xml:space="preserve"> Банка</w:t>
            </w:r>
            <w:r w:rsidR="00A458A7" w:rsidRPr="006D69CE">
              <w:rPr>
                <w:sz w:val="24"/>
              </w:rPr>
              <w:t xml:space="preserve"> </w:t>
            </w:r>
            <w:r w:rsidR="00A458A7">
              <w:rPr>
                <w:sz w:val="24"/>
              </w:rPr>
              <w:t xml:space="preserve">в разделе </w:t>
            </w:r>
            <w:r w:rsidR="005501B6">
              <w:rPr>
                <w:sz w:val="24"/>
              </w:rPr>
              <w:t xml:space="preserve">  </w:t>
            </w:r>
          </w:p>
          <w:p w14:paraId="5F3CB110" w14:textId="46C690FE" w:rsidR="00337DBF" w:rsidRPr="005501B6" w:rsidRDefault="005501B6" w:rsidP="00A458A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11" w:history="1">
              <w:r w:rsidR="00910B0E">
                <w:rPr>
                  <w:rStyle w:val="ad"/>
                </w:rPr>
                <w:t>Брокерское обслуживание (1cb.ru)</w:t>
              </w:r>
            </w:hyperlink>
            <w:r w:rsidR="002B0F75">
              <w:rPr>
                <w:rStyle w:val="ad"/>
              </w:rPr>
              <w:t>.</w:t>
            </w:r>
          </w:p>
        </w:tc>
      </w:tr>
      <w:tr w:rsidR="002A1E63" w14:paraId="076517FC" w14:textId="77777777" w:rsidTr="009B29FD">
        <w:trPr>
          <w:trHeight w:val="3970"/>
        </w:trPr>
        <w:tc>
          <w:tcPr>
            <w:tcW w:w="456" w:type="dxa"/>
          </w:tcPr>
          <w:p w14:paraId="58E1C2E1" w14:textId="77777777" w:rsidR="002A1E63" w:rsidRDefault="00295270">
            <w:pPr>
              <w:pStyle w:val="TableParagraph"/>
              <w:spacing w:line="204" w:lineRule="exact"/>
              <w:ind w:left="0" w:right="174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48" w:type="dxa"/>
          </w:tcPr>
          <w:p w14:paraId="67FE1E3B" w14:textId="77777777" w:rsidR="002A1E63" w:rsidRDefault="00295270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Финансовые инструменты</w:t>
            </w:r>
          </w:p>
        </w:tc>
        <w:tc>
          <w:tcPr>
            <w:tcW w:w="8221" w:type="dxa"/>
          </w:tcPr>
          <w:p w14:paraId="6D19D3D2" w14:textId="77777777" w:rsidR="0059267A" w:rsidRDefault="00295270" w:rsidP="00994DF2">
            <w:pPr>
              <w:pStyle w:val="TableParagraph"/>
              <w:ind w:right="210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договором о брокерском обслуживании Вам доступны операции со следующими финансовыми инструментами</w:t>
            </w:r>
            <w:r w:rsidRPr="006D69CE">
              <w:rPr>
                <w:sz w:val="24"/>
              </w:rPr>
              <w:t xml:space="preserve">: </w:t>
            </w:r>
            <w:r>
              <w:rPr>
                <w:sz w:val="24"/>
              </w:rPr>
              <w:t>Банк</w:t>
            </w:r>
            <w:r w:rsidRPr="006D69C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 w:rsidRPr="006D69CE">
              <w:rPr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 w:rsidRPr="006D69C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6D69CE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 w:rsidRPr="006D69CE">
              <w:rPr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 w:rsidRPr="006D69CE">
              <w:rPr>
                <w:sz w:val="24"/>
              </w:rPr>
              <w:t xml:space="preserve"> </w:t>
            </w:r>
            <w:r>
              <w:rPr>
                <w:sz w:val="24"/>
              </w:rPr>
              <w:t>резидентам</w:t>
            </w:r>
            <w:r w:rsidRPr="006D69CE">
              <w:rPr>
                <w:sz w:val="24"/>
              </w:rPr>
              <w:t xml:space="preserve"> </w:t>
            </w:r>
            <w:r>
              <w:rPr>
                <w:sz w:val="24"/>
              </w:rPr>
              <w:t>и нерезидентам</w:t>
            </w:r>
            <w:r w:rsidRPr="006D69C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Pr="006D69CE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 w:rsidRPr="006D69CE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Pr="006D69CE">
              <w:rPr>
                <w:sz w:val="24"/>
              </w:rPr>
              <w:t xml:space="preserve"> </w:t>
            </w:r>
            <w:r>
              <w:rPr>
                <w:sz w:val="24"/>
              </w:rPr>
              <w:t>вознаграждение,</w:t>
            </w:r>
            <w:r w:rsidRPr="006D69CE">
              <w:rPr>
                <w:sz w:val="24"/>
              </w:rPr>
              <w:t xml:space="preserve"> </w:t>
            </w:r>
            <w:r>
              <w:rPr>
                <w:sz w:val="24"/>
              </w:rPr>
              <w:t>брокерские услуги, в том числе:</w:t>
            </w:r>
          </w:p>
          <w:p w14:paraId="042CEAC1" w14:textId="653C9597" w:rsidR="0059267A" w:rsidRPr="00C62C85" w:rsidRDefault="00746632" w:rsidP="00994DF2">
            <w:pPr>
              <w:pStyle w:val="TableParagraph"/>
              <w:ind w:right="210"/>
              <w:jc w:val="both"/>
              <w:rPr>
                <w:sz w:val="24"/>
              </w:rPr>
            </w:pPr>
            <w:r w:rsidRPr="006D69CE">
              <w:rPr>
                <w:sz w:val="24"/>
              </w:rPr>
              <w:t>-</w:t>
            </w:r>
            <w:r w:rsidR="0059267A" w:rsidRPr="006D69CE">
              <w:rPr>
                <w:sz w:val="24"/>
              </w:rPr>
              <w:t xml:space="preserve"> </w:t>
            </w:r>
            <w:r w:rsidR="00A36042">
              <w:rPr>
                <w:sz w:val="24"/>
              </w:rPr>
              <w:t>сделки</w:t>
            </w:r>
            <w:r w:rsidR="00A36042" w:rsidRPr="006D69CE">
              <w:rPr>
                <w:sz w:val="24"/>
              </w:rPr>
              <w:t xml:space="preserve"> </w:t>
            </w:r>
            <w:r w:rsidR="00A36042">
              <w:rPr>
                <w:sz w:val="24"/>
              </w:rPr>
              <w:t>купли-продажи</w:t>
            </w:r>
            <w:r w:rsidR="00A36042" w:rsidRPr="006D69CE">
              <w:rPr>
                <w:sz w:val="24"/>
              </w:rPr>
              <w:t xml:space="preserve"> </w:t>
            </w:r>
            <w:r w:rsidR="00A36042">
              <w:rPr>
                <w:sz w:val="24"/>
              </w:rPr>
              <w:t>ценных</w:t>
            </w:r>
            <w:r w:rsidR="00A36042" w:rsidRPr="006D69CE">
              <w:rPr>
                <w:sz w:val="24"/>
              </w:rPr>
              <w:t xml:space="preserve"> </w:t>
            </w:r>
            <w:r w:rsidR="00A36042">
              <w:rPr>
                <w:sz w:val="24"/>
              </w:rPr>
              <w:t>бумаг</w:t>
            </w:r>
            <w:r w:rsidR="00A36042" w:rsidRPr="006D69CE">
              <w:rPr>
                <w:sz w:val="24"/>
              </w:rPr>
              <w:t xml:space="preserve"> </w:t>
            </w:r>
            <w:r w:rsidR="00A36042">
              <w:rPr>
                <w:sz w:val="24"/>
              </w:rPr>
              <w:t>на</w:t>
            </w:r>
            <w:r w:rsidR="00A36042" w:rsidRPr="006D69CE">
              <w:rPr>
                <w:sz w:val="24"/>
              </w:rPr>
              <w:t xml:space="preserve"> </w:t>
            </w:r>
            <w:r w:rsidR="00A36042">
              <w:rPr>
                <w:sz w:val="24"/>
              </w:rPr>
              <w:t>организованной</w:t>
            </w:r>
            <w:r w:rsidR="00A36042" w:rsidRPr="006D69CE">
              <w:rPr>
                <w:sz w:val="24"/>
              </w:rPr>
              <w:t xml:space="preserve"> </w:t>
            </w:r>
            <w:r w:rsidR="00A36042">
              <w:rPr>
                <w:sz w:val="24"/>
              </w:rPr>
              <w:t xml:space="preserve">торговой площадке </w:t>
            </w:r>
            <w:r w:rsidR="0059267A" w:rsidRPr="00C62C85">
              <w:rPr>
                <w:sz w:val="24"/>
              </w:rPr>
              <w:t xml:space="preserve">ПАО Московская Биржа (фондовый рынок); </w:t>
            </w:r>
          </w:p>
          <w:p w14:paraId="15996A3F" w14:textId="5CE2E967" w:rsidR="0059267A" w:rsidRPr="00C62C85" w:rsidRDefault="008B6D73" w:rsidP="00994DF2">
            <w:pPr>
              <w:pStyle w:val="TableParagraph"/>
              <w:ind w:right="210"/>
              <w:jc w:val="both"/>
              <w:rPr>
                <w:sz w:val="24"/>
              </w:rPr>
            </w:pPr>
            <w:r w:rsidRPr="006D69CE">
              <w:rPr>
                <w:sz w:val="24"/>
              </w:rPr>
              <w:t>-</w:t>
            </w:r>
            <w:r w:rsidR="0059267A" w:rsidRPr="006D69CE">
              <w:rPr>
                <w:sz w:val="24"/>
              </w:rPr>
              <w:t xml:space="preserve"> </w:t>
            </w:r>
            <w:r w:rsidR="00A36042">
              <w:rPr>
                <w:sz w:val="24"/>
              </w:rPr>
              <w:t>сделки</w:t>
            </w:r>
            <w:r w:rsidR="00A36042" w:rsidRPr="006D69CE">
              <w:rPr>
                <w:sz w:val="24"/>
              </w:rPr>
              <w:t xml:space="preserve"> </w:t>
            </w:r>
            <w:r w:rsidR="00A36042">
              <w:rPr>
                <w:sz w:val="24"/>
              </w:rPr>
              <w:t>купли-продажи</w:t>
            </w:r>
            <w:r w:rsidR="00A36042" w:rsidRPr="00C62C85">
              <w:rPr>
                <w:sz w:val="24"/>
              </w:rPr>
              <w:t xml:space="preserve"> </w:t>
            </w:r>
            <w:r w:rsidR="00A36042">
              <w:rPr>
                <w:sz w:val="24"/>
              </w:rPr>
              <w:t>ПФИ на</w:t>
            </w:r>
            <w:r w:rsidR="00A36042" w:rsidRPr="00E42432">
              <w:rPr>
                <w:sz w:val="24"/>
              </w:rPr>
              <w:t xml:space="preserve"> </w:t>
            </w:r>
            <w:r w:rsidR="00A36042">
              <w:rPr>
                <w:sz w:val="24"/>
              </w:rPr>
              <w:t>организованной</w:t>
            </w:r>
            <w:r w:rsidR="00A36042" w:rsidRPr="00A96ABB">
              <w:rPr>
                <w:sz w:val="24"/>
              </w:rPr>
              <w:t xml:space="preserve"> </w:t>
            </w:r>
            <w:r w:rsidR="00A36042">
              <w:rPr>
                <w:sz w:val="24"/>
              </w:rPr>
              <w:t xml:space="preserve">торговой площадке </w:t>
            </w:r>
            <w:r w:rsidR="0059267A" w:rsidRPr="00C62C85">
              <w:rPr>
                <w:sz w:val="24"/>
              </w:rPr>
              <w:t xml:space="preserve">ПАО Московская Биржа (срочный рынок); </w:t>
            </w:r>
          </w:p>
          <w:p w14:paraId="716EBAF4" w14:textId="0820ED83" w:rsidR="000B6B0B" w:rsidRPr="000B6B0B" w:rsidRDefault="008B6D73" w:rsidP="00994DF2">
            <w:pPr>
              <w:pStyle w:val="TableParagraph"/>
              <w:ind w:right="210"/>
              <w:jc w:val="both"/>
              <w:rPr>
                <w:sz w:val="24"/>
              </w:rPr>
            </w:pPr>
            <w:r w:rsidRPr="006D69CE">
              <w:rPr>
                <w:sz w:val="24"/>
              </w:rPr>
              <w:t>-</w:t>
            </w:r>
            <w:r w:rsidR="0059267A" w:rsidRPr="006D69CE">
              <w:rPr>
                <w:sz w:val="24"/>
              </w:rPr>
              <w:t xml:space="preserve"> </w:t>
            </w:r>
            <w:r w:rsidR="00A36042">
              <w:rPr>
                <w:sz w:val="24"/>
              </w:rPr>
              <w:t>сделки</w:t>
            </w:r>
            <w:r w:rsidR="00A36042" w:rsidRPr="00C62C85">
              <w:rPr>
                <w:sz w:val="24"/>
              </w:rPr>
              <w:t xml:space="preserve"> </w:t>
            </w:r>
            <w:r w:rsidR="00A36042">
              <w:rPr>
                <w:sz w:val="24"/>
              </w:rPr>
              <w:t>купли-продажи</w:t>
            </w:r>
            <w:r w:rsidR="00A36042" w:rsidRPr="00A96ABB">
              <w:rPr>
                <w:sz w:val="24"/>
              </w:rPr>
              <w:t xml:space="preserve"> </w:t>
            </w:r>
            <w:r w:rsidR="00C62C85">
              <w:rPr>
                <w:sz w:val="24"/>
              </w:rPr>
              <w:t>иностранной валюты</w:t>
            </w:r>
            <w:r w:rsidR="00A36042">
              <w:rPr>
                <w:sz w:val="24"/>
              </w:rPr>
              <w:t xml:space="preserve"> на</w:t>
            </w:r>
            <w:r w:rsidR="00A36042" w:rsidRPr="00A96ABB">
              <w:rPr>
                <w:sz w:val="24"/>
              </w:rPr>
              <w:t xml:space="preserve"> </w:t>
            </w:r>
            <w:r w:rsidR="00A36042">
              <w:rPr>
                <w:sz w:val="24"/>
              </w:rPr>
              <w:t>организованной</w:t>
            </w:r>
            <w:r w:rsidR="00A36042" w:rsidRPr="00C62C85">
              <w:rPr>
                <w:sz w:val="24"/>
              </w:rPr>
              <w:t xml:space="preserve"> </w:t>
            </w:r>
            <w:r w:rsidR="00A36042">
              <w:rPr>
                <w:sz w:val="24"/>
              </w:rPr>
              <w:t xml:space="preserve">торговой площадке </w:t>
            </w:r>
            <w:r w:rsidR="0059267A" w:rsidRPr="00A96ABB">
              <w:rPr>
                <w:sz w:val="24"/>
              </w:rPr>
              <w:t>ПАО Московская Биржа (валютный рынок);</w:t>
            </w:r>
            <w:r w:rsidR="0059267A" w:rsidRPr="006D69CE">
              <w:rPr>
                <w:sz w:val="24"/>
              </w:rPr>
              <w:t xml:space="preserve">  </w:t>
            </w:r>
          </w:p>
          <w:p w14:paraId="5A0C1AC6" w14:textId="695F6EB4" w:rsidR="000B6B0B" w:rsidRPr="006D69CE" w:rsidRDefault="000B6B0B" w:rsidP="00994DF2">
            <w:pPr>
              <w:pStyle w:val="TableParagraph"/>
              <w:tabs>
                <w:tab w:val="left" w:pos="248"/>
              </w:tabs>
              <w:ind w:left="0" w:right="5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B6D73" w:rsidRPr="006D69CE">
              <w:rPr>
                <w:sz w:val="24"/>
              </w:rPr>
              <w:t>-</w:t>
            </w:r>
            <w:r w:rsidR="00874221" w:rsidRPr="006D69CE">
              <w:rPr>
                <w:sz w:val="24"/>
              </w:rPr>
              <w:t xml:space="preserve"> </w:t>
            </w:r>
            <w:r>
              <w:rPr>
                <w:sz w:val="24"/>
              </w:rPr>
              <w:t>сделки</w:t>
            </w:r>
            <w:r w:rsidRPr="006D69CE">
              <w:rPr>
                <w:sz w:val="24"/>
              </w:rPr>
              <w:t xml:space="preserve"> </w:t>
            </w:r>
            <w:r w:rsidR="00B87366" w:rsidRPr="006D69CE">
              <w:rPr>
                <w:sz w:val="24"/>
              </w:rPr>
              <w:t>РЕПО</w:t>
            </w:r>
            <w:r w:rsidRPr="006D69CE">
              <w:rPr>
                <w:sz w:val="24"/>
              </w:rPr>
              <w:t>;</w:t>
            </w:r>
          </w:p>
          <w:p w14:paraId="487CF991" w14:textId="633DDACA" w:rsidR="003259EE" w:rsidRPr="000B6B0B" w:rsidRDefault="00746632" w:rsidP="00994DF2">
            <w:pPr>
              <w:pStyle w:val="TableParagraph"/>
              <w:ind w:right="210"/>
              <w:jc w:val="both"/>
              <w:rPr>
                <w:sz w:val="24"/>
              </w:rPr>
            </w:pPr>
            <w:r w:rsidRPr="006D69CE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3259EE">
              <w:rPr>
                <w:sz w:val="24"/>
              </w:rPr>
              <w:t>сделки</w:t>
            </w:r>
            <w:r w:rsidR="003259EE" w:rsidRPr="00A054F5">
              <w:rPr>
                <w:sz w:val="24"/>
              </w:rPr>
              <w:t xml:space="preserve"> </w:t>
            </w:r>
            <w:r w:rsidR="003259EE">
              <w:rPr>
                <w:sz w:val="24"/>
              </w:rPr>
              <w:t>купли-продажи ценных</w:t>
            </w:r>
            <w:r w:rsidR="003259EE" w:rsidRPr="00A054F5">
              <w:rPr>
                <w:sz w:val="24"/>
              </w:rPr>
              <w:t xml:space="preserve"> </w:t>
            </w:r>
            <w:r w:rsidR="003259EE">
              <w:rPr>
                <w:sz w:val="24"/>
              </w:rPr>
              <w:t>бумаг</w:t>
            </w:r>
            <w:r w:rsidR="00767BAD">
              <w:rPr>
                <w:sz w:val="24"/>
              </w:rPr>
              <w:t>, ПФИ</w:t>
            </w:r>
            <w:r w:rsidR="009146E3">
              <w:rPr>
                <w:sz w:val="24"/>
              </w:rPr>
              <w:t xml:space="preserve">, иностранной валюты </w:t>
            </w:r>
            <w:r w:rsidR="003259EE">
              <w:rPr>
                <w:sz w:val="24"/>
              </w:rPr>
              <w:t xml:space="preserve">на </w:t>
            </w:r>
            <w:r w:rsidR="003259EE" w:rsidRPr="005F09F7">
              <w:rPr>
                <w:sz w:val="24"/>
              </w:rPr>
              <w:t>Внебиржевом рынке</w:t>
            </w:r>
            <w:r w:rsidR="007D5D25">
              <w:rPr>
                <w:sz w:val="24"/>
              </w:rPr>
              <w:t xml:space="preserve">. </w:t>
            </w:r>
          </w:p>
          <w:p w14:paraId="4ABDDE5F" w14:textId="77777777" w:rsidR="002554E9" w:rsidRDefault="00710E50" w:rsidP="00994DF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B6B0B">
              <w:rPr>
                <w:sz w:val="24"/>
              </w:rPr>
              <w:t>С</w:t>
            </w:r>
            <w:r w:rsidR="000B6B0B" w:rsidRPr="006D69CE">
              <w:rPr>
                <w:sz w:val="24"/>
              </w:rPr>
              <w:t xml:space="preserve"> </w:t>
            </w:r>
            <w:r w:rsidR="000B6B0B">
              <w:rPr>
                <w:sz w:val="24"/>
              </w:rPr>
              <w:t>информацией</w:t>
            </w:r>
            <w:r w:rsidR="000B6B0B" w:rsidRPr="006D69CE">
              <w:rPr>
                <w:sz w:val="24"/>
              </w:rPr>
              <w:t xml:space="preserve"> </w:t>
            </w:r>
            <w:r w:rsidR="000B6B0B">
              <w:rPr>
                <w:sz w:val="24"/>
              </w:rPr>
              <w:t>об</w:t>
            </w:r>
            <w:r w:rsidR="000B6B0B" w:rsidRPr="006D69CE">
              <w:rPr>
                <w:sz w:val="24"/>
              </w:rPr>
              <w:t xml:space="preserve"> </w:t>
            </w:r>
            <w:r w:rsidR="000B6B0B">
              <w:rPr>
                <w:sz w:val="24"/>
              </w:rPr>
              <w:t>услугах</w:t>
            </w:r>
            <w:r w:rsidR="000B6B0B" w:rsidRPr="006D69CE">
              <w:rPr>
                <w:sz w:val="24"/>
              </w:rPr>
              <w:t xml:space="preserve"> </w:t>
            </w:r>
            <w:r w:rsidR="000B6B0B">
              <w:rPr>
                <w:sz w:val="24"/>
              </w:rPr>
              <w:t>можно</w:t>
            </w:r>
            <w:r w:rsidR="000B6B0B" w:rsidRPr="006D69CE">
              <w:rPr>
                <w:sz w:val="24"/>
              </w:rPr>
              <w:t xml:space="preserve"> </w:t>
            </w:r>
            <w:r w:rsidR="000B6B0B">
              <w:rPr>
                <w:sz w:val="24"/>
              </w:rPr>
              <w:t>ознакомиться</w:t>
            </w:r>
            <w:r w:rsidR="000B6B0B" w:rsidRPr="006D69CE">
              <w:rPr>
                <w:sz w:val="24"/>
              </w:rPr>
              <w:t xml:space="preserve"> </w:t>
            </w:r>
            <w:r w:rsidR="000B6B0B">
              <w:rPr>
                <w:sz w:val="24"/>
              </w:rPr>
              <w:t>на</w:t>
            </w:r>
            <w:r w:rsidR="000B6B0B" w:rsidRPr="006D69CE">
              <w:rPr>
                <w:sz w:val="24"/>
              </w:rPr>
              <w:t xml:space="preserve"> </w:t>
            </w:r>
            <w:r w:rsidR="000B6B0B">
              <w:rPr>
                <w:sz w:val="24"/>
              </w:rPr>
              <w:t>сайте</w:t>
            </w:r>
            <w:r w:rsidR="000B6B0B" w:rsidRPr="006D69CE">
              <w:rPr>
                <w:sz w:val="24"/>
              </w:rPr>
              <w:t xml:space="preserve"> </w:t>
            </w:r>
            <w:r w:rsidR="000B6B0B">
              <w:rPr>
                <w:sz w:val="24"/>
              </w:rPr>
              <w:t>Банка</w:t>
            </w:r>
            <w:r w:rsidR="000B6B0B" w:rsidRPr="006D69CE">
              <w:rPr>
                <w:sz w:val="24"/>
              </w:rPr>
              <w:t xml:space="preserve"> </w:t>
            </w:r>
            <w:r w:rsidR="000B6B0B">
              <w:rPr>
                <w:sz w:val="24"/>
              </w:rPr>
              <w:t xml:space="preserve">в </w:t>
            </w:r>
            <w:r w:rsidR="003838EA">
              <w:rPr>
                <w:sz w:val="24"/>
              </w:rPr>
              <w:t xml:space="preserve">разделе </w:t>
            </w:r>
          </w:p>
          <w:p w14:paraId="54C0E6DA" w14:textId="05083499" w:rsidR="002A1E63" w:rsidRDefault="002554E9" w:rsidP="00994DF2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12" w:history="1">
              <w:r w:rsidR="000B6B0B">
                <w:rPr>
                  <w:rStyle w:val="ad"/>
                </w:rPr>
                <w:t>Брокерское обслуживание (1cb.ru)</w:t>
              </w:r>
            </w:hyperlink>
            <w:r w:rsidR="002B0F75">
              <w:rPr>
                <w:rStyle w:val="ad"/>
              </w:rPr>
              <w:t xml:space="preserve">. </w:t>
            </w:r>
          </w:p>
        </w:tc>
      </w:tr>
    </w:tbl>
    <w:p w14:paraId="681D5028" w14:textId="35DC81B6" w:rsidR="00DE52B2" w:rsidRDefault="00DE52B2" w:rsidP="00271B8D">
      <w:pPr>
        <w:pStyle w:val="a0"/>
        <w:spacing w:before="8"/>
      </w:pPr>
    </w:p>
    <w:p w14:paraId="6768E67A" w14:textId="7D957DB4" w:rsidR="00DE52B2" w:rsidRDefault="00DE52B2" w:rsidP="00DE52B2"/>
    <w:p w14:paraId="6B044D9C" w14:textId="462FA083" w:rsidR="00DE52B2" w:rsidRDefault="00DE52B2" w:rsidP="00DE52B2">
      <w:pPr>
        <w:tabs>
          <w:tab w:val="left" w:pos="4335"/>
        </w:tabs>
      </w:pPr>
      <w:r>
        <w:tab/>
      </w:r>
    </w:p>
    <w:p w14:paraId="649FA4D0" w14:textId="6E0C202D" w:rsidR="002A1E63" w:rsidRPr="00DE52B2" w:rsidRDefault="00DE52B2" w:rsidP="00DE52B2">
      <w:pPr>
        <w:tabs>
          <w:tab w:val="left" w:pos="4335"/>
        </w:tabs>
        <w:sectPr w:rsidR="002A1E63" w:rsidRPr="00DE52B2" w:rsidSect="00B55FFB">
          <w:footerReference w:type="default" r:id="rId13"/>
          <w:type w:val="continuous"/>
          <w:pgSz w:w="11910" w:h="16840"/>
          <w:pgMar w:top="568" w:right="740" w:bottom="280" w:left="880" w:header="720" w:footer="720" w:gutter="0"/>
          <w:cols w:space="720"/>
        </w:sectPr>
      </w:pPr>
      <w:r>
        <w:tab/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033"/>
        <w:gridCol w:w="7575"/>
      </w:tblGrid>
      <w:tr w:rsidR="002A1E63" w:rsidRPr="00A8448D" w14:paraId="690F088D" w14:textId="77777777" w:rsidTr="00FC4B78">
        <w:trPr>
          <w:trHeight w:val="2269"/>
        </w:trPr>
        <w:tc>
          <w:tcPr>
            <w:tcW w:w="456" w:type="dxa"/>
          </w:tcPr>
          <w:p w14:paraId="71F78F7B" w14:textId="77777777" w:rsidR="002A1E63" w:rsidRDefault="00295270">
            <w:pPr>
              <w:pStyle w:val="TableParagraph"/>
              <w:spacing w:line="202" w:lineRule="exact"/>
              <w:ind w:left="0" w:right="174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6</w:t>
            </w:r>
          </w:p>
        </w:tc>
        <w:tc>
          <w:tcPr>
            <w:tcW w:w="2033" w:type="dxa"/>
          </w:tcPr>
          <w:p w14:paraId="414848EF" w14:textId="77777777" w:rsidR="002A1E63" w:rsidRDefault="0029527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Тестирование</w:t>
            </w:r>
          </w:p>
        </w:tc>
        <w:tc>
          <w:tcPr>
            <w:tcW w:w="7575" w:type="dxa"/>
          </w:tcPr>
          <w:p w14:paraId="7502D406" w14:textId="77777777" w:rsidR="002121F7" w:rsidRDefault="002121F7" w:rsidP="002121F7">
            <w:pPr>
              <w:pStyle w:val="TableParagraph"/>
              <w:ind w:left="0" w:right="5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 xml:space="preserve">В отношении следующих видов сделок (договоров) поручения </w:t>
            </w:r>
            <w:r>
              <w:rPr>
                <w:sz w:val="24"/>
              </w:rPr>
              <w:t xml:space="preserve"> </w:t>
            </w:r>
          </w:p>
          <w:p w14:paraId="366CA4F6" w14:textId="77777777" w:rsidR="002121F7" w:rsidRDefault="002121F7" w:rsidP="002121F7">
            <w:pPr>
              <w:pStyle w:val="TableParagraph"/>
              <w:ind w:left="0" w:right="5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неквалифицированных</w:t>
            </w:r>
            <w:r w:rsidR="00295270" w:rsidRPr="00C42851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инвесторов</w:t>
            </w:r>
            <w:r w:rsidR="00295270" w:rsidRPr="00C42851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–</w:t>
            </w:r>
            <w:r w:rsidR="00295270" w:rsidRPr="00C42851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физических</w:t>
            </w:r>
            <w:r w:rsidR="00295270" w:rsidRPr="00C42851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лиц</w:t>
            </w:r>
            <w:r w:rsidR="00295270" w:rsidRPr="00C42851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 xml:space="preserve">исполняются </w:t>
            </w:r>
            <w:r>
              <w:rPr>
                <w:sz w:val="24"/>
              </w:rPr>
              <w:t xml:space="preserve"> </w:t>
            </w:r>
          </w:p>
          <w:p w14:paraId="0D22DE5B" w14:textId="07CD396C" w:rsidR="002A1E63" w:rsidRDefault="002121F7" w:rsidP="002121F7">
            <w:pPr>
              <w:pStyle w:val="TableParagraph"/>
              <w:ind w:left="0" w:right="5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брокером только при положительном результате тестирования</w:t>
            </w:r>
            <w:r w:rsidR="002C59F7">
              <w:rPr>
                <w:sz w:val="24"/>
              </w:rPr>
              <w:t>.</w:t>
            </w:r>
            <w:r w:rsidR="00295270">
              <w:rPr>
                <w:sz w:val="24"/>
              </w:rPr>
              <w:t xml:space="preserve"> </w:t>
            </w:r>
          </w:p>
          <w:p w14:paraId="5D1421F2" w14:textId="14BA67DE" w:rsidR="00C42851" w:rsidRPr="00A962CC" w:rsidRDefault="00C42851" w:rsidP="00233EEA">
            <w:pPr>
              <w:pStyle w:val="TableParagraph"/>
              <w:ind w:left="0"/>
              <w:jc w:val="both"/>
              <w:rPr>
                <w:sz w:val="24"/>
              </w:rPr>
            </w:pPr>
            <w:r w:rsidRPr="00A962CC">
              <w:rPr>
                <w:sz w:val="24"/>
              </w:rPr>
              <w:t xml:space="preserve"> </w:t>
            </w:r>
            <w:r w:rsidR="003C1537">
              <w:rPr>
                <w:sz w:val="24"/>
              </w:rPr>
              <w:t xml:space="preserve">С </w:t>
            </w:r>
            <w:r w:rsidR="00F84FEE" w:rsidRPr="00A962CC">
              <w:rPr>
                <w:sz w:val="24"/>
              </w:rPr>
              <w:fldChar w:fldCharType="begin"/>
            </w:r>
            <w:r w:rsidR="00F84FEE" w:rsidRPr="00A962CC">
              <w:rPr>
                <w:sz w:val="24"/>
              </w:rPr>
              <w:instrText xml:space="preserve"> HYPERLINK "https://www.1cb.ru/upload/iblock/bfc/6haasszjmhstipdo57gclaee4dtbp4z7/Poryadok-provedeniya-testirovaniya-s-01.03.23.docx" \t "_blank" </w:instrText>
            </w:r>
            <w:r w:rsidR="00F84FEE" w:rsidRPr="00A962CC">
              <w:rPr>
                <w:sz w:val="24"/>
              </w:rPr>
              <w:fldChar w:fldCharType="separate"/>
            </w:r>
            <w:r w:rsidR="00F84FEE" w:rsidRPr="00A962CC">
              <w:rPr>
                <w:sz w:val="24"/>
              </w:rPr>
              <w:t>Поряд</w:t>
            </w:r>
            <w:r w:rsidR="003C1537">
              <w:rPr>
                <w:sz w:val="24"/>
              </w:rPr>
              <w:t>ком</w:t>
            </w:r>
            <w:r w:rsidR="00F84FEE" w:rsidRPr="00A962CC">
              <w:rPr>
                <w:sz w:val="24"/>
              </w:rPr>
              <w:t xml:space="preserve"> проведения тестирования физических лиц, не являющихся </w:t>
            </w:r>
            <w:r w:rsidRPr="00A962CC">
              <w:rPr>
                <w:sz w:val="24"/>
              </w:rPr>
              <w:t xml:space="preserve">  </w:t>
            </w:r>
          </w:p>
          <w:p w14:paraId="06545FC4" w14:textId="5EBA9853" w:rsidR="00C42851" w:rsidRDefault="00C42851" w:rsidP="00233EEA">
            <w:pPr>
              <w:pStyle w:val="TableParagraph"/>
              <w:ind w:left="0"/>
              <w:jc w:val="both"/>
              <w:rPr>
                <w:sz w:val="24"/>
              </w:rPr>
            </w:pPr>
            <w:r w:rsidRPr="00A962CC">
              <w:rPr>
                <w:sz w:val="24"/>
              </w:rPr>
              <w:t xml:space="preserve"> </w:t>
            </w:r>
            <w:r w:rsidR="00F84FEE" w:rsidRPr="00A962CC">
              <w:rPr>
                <w:sz w:val="24"/>
              </w:rPr>
              <w:t>квалифицированными инвесторами</w:t>
            </w:r>
            <w:r w:rsidR="00F84FEE" w:rsidRPr="00A962CC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можно</w:t>
            </w:r>
            <w:r w:rsidRPr="006D69CE">
              <w:rPr>
                <w:sz w:val="24"/>
              </w:rPr>
              <w:t xml:space="preserve"> </w:t>
            </w:r>
            <w:r>
              <w:rPr>
                <w:sz w:val="24"/>
              </w:rPr>
              <w:t>ознакомиться</w:t>
            </w:r>
            <w:r w:rsidRPr="006D69C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6D69CE">
              <w:rPr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 w:rsidRPr="006D69CE">
              <w:rPr>
                <w:sz w:val="24"/>
              </w:rPr>
              <w:t xml:space="preserve"> </w:t>
            </w:r>
          </w:p>
          <w:p w14:paraId="2F250EB0" w14:textId="18018C35" w:rsidR="00F84FEE" w:rsidRPr="00C42851" w:rsidRDefault="00C42851" w:rsidP="00C4285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Банка</w:t>
            </w:r>
            <w:r w:rsidRPr="006D69CE">
              <w:rPr>
                <w:sz w:val="24"/>
              </w:rPr>
              <w:t xml:space="preserve"> </w:t>
            </w:r>
            <w:r>
              <w:rPr>
                <w:sz w:val="24"/>
              </w:rPr>
              <w:t>в р</w:t>
            </w:r>
            <w:r w:rsidR="000A7013">
              <w:rPr>
                <w:sz w:val="24"/>
              </w:rPr>
              <w:t xml:space="preserve">азделе </w:t>
            </w:r>
            <w:hyperlink r:id="rId14" w:history="1">
              <w:r>
                <w:rPr>
                  <w:rStyle w:val="ad"/>
                </w:rPr>
                <w:t>Брокерское обслуживание (1cb.ru)</w:t>
              </w:r>
            </w:hyperlink>
            <w:r w:rsidR="00085AB8">
              <w:rPr>
                <w:rStyle w:val="ad"/>
              </w:rPr>
              <w:t>.</w:t>
            </w:r>
          </w:p>
          <w:p w14:paraId="0D71FD4C" w14:textId="0475DCF5" w:rsidR="002A1E63" w:rsidRPr="00A8448D" w:rsidRDefault="00295270" w:rsidP="00E46025">
            <w:pPr>
              <w:pStyle w:val="TableParagraph"/>
              <w:ind w:right="585"/>
              <w:jc w:val="both"/>
              <w:rPr>
                <w:rFonts w:ascii="Segoe UI" w:hAnsi="Segoe UI" w:cs="Segoe UI"/>
                <w:color w:val="111111"/>
                <w:sz w:val="21"/>
                <w:szCs w:val="21"/>
                <w:u w:val="single"/>
                <w:shd w:val="clear" w:color="auto" w:fill="EBEDEE"/>
              </w:rPr>
            </w:pPr>
            <w:r w:rsidRPr="00C42851">
              <w:rPr>
                <w:sz w:val="24"/>
              </w:rPr>
              <w:t>Обращаем Ваше внимание, что такие сделки являются более</w:t>
            </w:r>
            <w:r w:rsidR="009113A5">
              <w:rPr>
                <w:sz w:val="24"/>
              </w:rPr>
              <w:t xml:space="preserve"> </w:t>
            </w:r>
            <w:r w:rsidRPr="00C42851">
              <w:rPr>
                <w:sz w:val="24"/>
              </w:rPr>
              <w:t xml:space="preserve">рискованными, </w:t>
            </w:r>
            <w:r w:rsidR="00A8448D" w:rsidRPr="00C42851">
              <w:rPr>
                <w:sz w:val="24"/>
              </w:rPr>
              <w:t xml:space="preserve"> </w:t>
            </w:r>
            <w:r w:rsidRPr="00C42851">
              <w:rPr>
                <w:sz w:val="24"/>
              </w:rPr>
              <w:t xml:space="preserve">чем сделки с инструментами, доступными для неквалифицированных </w:t>
            </w:r>
            <w:r w:rsidR="00A8448D" w:rsidRPr="00C42851">
              <w:rPr>
                <w:sz w:val="24"/>
              </w:rPr>
              <w:t xml:space="preserve"> </w:t>
            </w:r>
            <w:r w:rsidRPr="00C42851">
              <w:rPr>
                <w:sz w:val="24"/>
              </w:rPr>
              <w:t>инвесторов, по которым не требуется прохождение тестирования.</w:t>
            </w:r>
          </w:p>
        </w:tc>
      </w:tr>
      <w:tr w:rsidR="002A1E63" w14:paraId="252B3A2E" w14:textId="77777777" w:rsidTr="00EC7B61">
        <w:trPr>
          <w:trHeight w:val="3063"/>
        </w:trPr>
        <w:tc>
          <w:tcPr>
            <w:tcW w:w="456" w:type="dxa"/>
          </w:tcPr>
          <w:p w14:paraId="00C7EF0E" w14:textId="77777777" w:rsidR="002A1E63" w:rsidRPr="00A8448D" w:rsidRDefault="00295270" w:rsidP="00C73EA0">
            <w:pPr>
              <w:pStyle w:val="TableParagraph"/>
              <w:spacing w:line="202" w:lineRule="exact"/>
              <w:ind w:left="0" w:right="174"/>
              <w:jc w:val="right"/>
              <w:rPr>
                <w:rFonts w:ascii="Segoe UI" w:hAnsi="Segoe UI" w:cs="Segoe UI"/>
                <w:color w:val="111111"/>
                <w:sz w:val="21"/>
                <w:szCs w:val="21"/>
                <w:u w:val="single"/>
                <w:shd w:val="clear" w:color="auto" w:fill="EBEDEE"/>
              </w:rPr>
            </w:pPr>
            <w:r w:rsidRPr="00C73EA0">
              <w:rPr>
                <w:sz w:val="18"/>
              </w:rPr>
              <w:t>7</w:t>
            </w:r>
          </w:p>
        </w:tc>
        <w:tc>
          <w:tcPr>
            <w:tcW w:w="2033" w:type="dxa"/>
          </w:tcPr>
          <w:p w14:paraId="112A99CC" w14:textId="77777777" w:rsidR="002A1E63" w:rsidRDefault="00295270" w:rsidP="00A8448D">
            <w:pPr>
              <w:pStyle w:val="TableParagraph"/>
              <w:ind w:left="105"/>
              <w:rPr>
                <w:sz w:val="20"/>
              </w:rPr>
            </w:pPr>
            <w:r w:rsidRPr="00C73EA0">
              <w:rPr>
                <w:spacing w:val="-2"/>
                <w:sz w:val="20"/>
              </w:rPr>
              <w:t xml:space="preserve">Сделки (договоры), совершение которых требует наличие </w:t>
            </w:r>
            <w:r>
              <w:rPr>
                <w:spacing w:val="-2"/>
                <w:sz w:val="20"/>
              </w:rPr>
              <w:t>статуса квалифицированного инвестора</w:t>
            </w:r>
          </w:p>
        </w:tc>
        <w:tc>
          <w:tcPr>
            <w:tcW w:w="7575" w:type="dxa"/>
          </w:tcPr>
          <w:p w14:paraId="5E626E45" w14:textId="75FB6219" w:rsidR="00D24FCC" w:rsidRDefault="00295270" w:rsidP="003D03E1">
            <w:pPr>
              <w:pStyle w:val="TableParagraph"/>
              <w:ind w:right="210"/>
              <w:jc w:val="both"/>
              <w:rPr>
                <w:sz w:val="24"/>
              </w:rPr>
            </w:pPr>
            <w:r>
              <w:rPr>
                <w:sz w:val="24"/>
              </w:rPr>
              <w:t>В отношении следующих видов сделок (договоров) поручения исполняются</w:t>
            </w:r>
            <w:r w:rsidRPr="001816EE">
              <w:rPr>
                <w:sz w:val="24"/>
              </w:rPr>
              <w:t xml:space="preserve"> </w:t>
            </w:r>
            <w:r>
              <w:rPr>
                <w:sz w:val="24"/>
              </w:rPr>
              <w:t>брокером</w:t>
            </w:r>
            <w:r w:rsidRPr="001816EE">
              <w:rPr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 w:rsidRPr="001816EE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Pr="001816EE">
              <w:rPr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 w:rsidRPr="001816EE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Pr="001816EE">
              <w:rPr>
                <w:sz w:val="24"/>
              </w:rPr>
              <w:t xml:space="preserve"> </w:t>
            </w:r>
            <w:r>
              <w:rPr>
                <w:sz w:val="24"/>
              </w:rPr>
              <w:t>инвестора</w:t>
            </w:r>
            <w:r w:rsidRPr="001816EE">
              <w:rPr>
                <w:sz w:val="24"/>
              </w:rPr>
              <w:t xml:space="preserve"> </w:t>
            </w:r>
            <w:r>
              <w:rPr>
                <w:sz w:val="24"/>
              </w:rPr>
              <w:t>статуса квалифицированного инвестора:</w:t>
            </w:r>
            <w:r w:rsidR="00A810B0">
              <w:rPr>
                <w:sz w:val="24"/>
              </w:rPr>
              <w:t xml:space="preserve"> ц</w:t>
            </w:r>
            <w:r w:rsidR="005367FE">
              <w:rPr>
                <w:sz w:val="24"/>
              </w:rPr>
              <w:t>енные бумаги</w:t>
            </w:r>
            <w:r>
              <w:rPr>
                <w:sz w:val="24"/>
              </w:rPr>
              <w:t>, а также иные финансовые инструменты,</w:t>
            </w:r>
            <w:r w:rsidR="005367FE">
              <w:rPr>
                <w:sz w:val="24"/>
              </w:rPr>
              <w:t xml:space="preserve"> обращающиеся на биржевом и внебиржевом рынках, и</w:t>
            </w:r>
            <w:r>
              <w:rPr>
                <w:sz w:val="24"/>
              </w:rPr>
              <w:t xml:space="preserve"> предназначенные в соответствии с законодательством </w:t>
            </w:r>
            <w:r w:rsidR="005367FE">
              <w:rPr>
                <w:sz w:val="24"/>
              </w:rPr>
              <w:t>и (</w:t>
            </w:r>
            <w:r>
              <w:rPr>
                <w:sz w:val="24"/>
              </w:rPr>
              <w:t>или</w:t>
            </w:r>
            <w:r w:rsidR="005367FE">
              <w:rPr>
                <w:sz w:val="24"/>
              </w:rPr>
              <w:t>)</w:t>
            </w:r>
            <w:r>
              <w:rPr>
                <w:sz w:val="24"/>
              </w:rPr>
              <w:t xml:space="preserve"> эмиссионными документами для квалифицированных инвесторов. </w:t>
            </w:r>
          </w:p>
          <w:p w14:paraId="401FF5F3" w14:textId="77777777" w:rsidR="002A1E63" w:rsidRDefault="00295270" w:rsidP="003D03E1">
            <w:pPr>
              <w:pStyle w:val="TableParagraph"/>
              <w:ind w:right="210"/>
              <w:jc w:val="both"/>
              <w:rPr>
                <w:sz w:val="24"/>
              </w:rPr>
            </w:pPr>
            <w:r>
              <w:rPr>
                <w:sz w:val="24"/>
              </w:rPr>
              <w:t>Обращаем Ваше внимание, что сделки с инструментами, предназначенными для квалифицированных инвесторов, являются более</w:t>
            </w:r>
            <w:r w:rsidRPr="001816EE">
              <w:rPr>
                <w:sz w:val="24"/>
              </w:rPr>
              <w:t xml:space="preserve"> </w:t>
            </w:r>
            <w:r>
              <w:rPr>
                <w:sz w:val="24"/>
              </w:rPr>
              <w:t>рискованными,</w:t>
            </w:r>
            <w:r w:rsidRPr="001816EE">
              <w:rPr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 w:rsidRPr="001816EE">
              <w:rPr>
                <w:sz w:val="24"/>
              </w:rPr>
              <w:t xml:space="preserve"> </w:t>
            </w:r>
            <w:r>
              <w:rPr>
                <w:sz w:val="24"/>
              </w:rPr>
              <w:t>сделки</w:t>
            </w:r>
            <w:r w:rsidRPr="001816E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1816EE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инструментами,</w:t>
            </w:r>
            <w:r w:rsidRPr="001816EE">
              <w:rPr>
                <w:sz w:val="24"/>
              </w:rPr>
              <w:t xml:space="preserve"> </w:t>
            </w:r>
            <w:r>
              <w:rPr>
                <w:sz w:val="24"/>
              </w:rPr>
              <w:t>предназначенными для неквалифицированных инвесторов.</w:t>
            </w:r>
          </w:p>
        </w:tc>
      </w:tr>
      <w:tr w:rsidR="002A1E63" w14:paraId="4E855B3E" w14:textId="77777777" w:rsidTr="00FC4B78">
        <w:trPr>
          <w:trHeight w:val="1435"/>
        </w:trPr>
        <w:tc>
          <w:tcPr>
            <w:tcW w:w="456" w:type="dxa"/>
          </w:tcPr>
          <w:p w14:paraId="0663B475" w14:textId="77777777" w:rsidR="002A1E63" w:rsidRDefault="00295270" w:rsidP="006323FE">
            <w:pPr>
              <w:pStyle w:val="TableParagraph"/>
              <w:keepNext/>
              <w:spacing w:line="202" w:lineRule="exact"/>
              <w:ind w:left="0" w:right="174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033" w:type="dxa"/>
          </w:tcPr>
          <w:p w14:paraId="3A0E9364" w14:textId="77777777" w:rsidR="002A1E63" w:rsidRDefault="00295270" w:rsidP="006323FE">
            <w:pPr>
              <w:pStyle w:val="TableParagraph"/>
              <w:keepNext/>
              <w:ind w:left="105" w:right="11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Возможность совершения маржинальных </w:t>
            </w:r>
            <w:r>
              <w:rPr>
                <w:sz w:val="20"/>
              </w:rPr>
              <w:t>сделок и сделок, приводящих к непокрытой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</w:p>
        </w:tc>
        <w:tc>
          <w:tcPr>
            <w:tcW w:w="7575" w:type="dxa"/>
          </w:tcPr>
          <w:p w14:paraId="25B5D380" w14:textId="77777777" w:rsidR="00611872" w:rsidRDefault="005367FE" w:rsidP="0093033D">
            <w:pPr>
              <w:pStyle w:val="TableParagraph"/>
              <w:keepNext/>
              <w:jc w:val="both"/>
              <w:rPr>
                <w:sz w:val="24"/>
              </w:rPr>
            </w:pPr>
            <w:r w:rsidRPr="00005EBD">
              <w:rPr>
                <w:sz w:val="24"/>
              </w:rPr>
              <w:t>В рамках д</w:t>
            </w:r>
            <w:r w:rsidR="001E46F8" w:rsidRPr="00005EBD">
              <w:rPr>
                <w:sz w:val="24"/>
              </w:rPr>
              <w:t>оговор</w:t>
            </w:r>
            <w:r w:rsidRPr="00005EBD">
              <w:rPr>
                <w:sz w:val="24"/>
              </w:rPr>
              <w:t>а</w:t>
            </w:r>
            <w:r w:rsidR="001E46F8" w:rsidRPr="00005EBD">
              <w:rPr>
                <w:sz w:val="24"/>
              </w:rPr>
              <w:t xml:space="preserve"> о брокерском </w:t>
            </w:r>
            <w:r w:rsidR="001E46F8">
              <w:rPr>
                <w:sz w:val="24"/>
              </w:rPr>
              <w:t>обслуживании</w:t>
            </w:r>
            <w:r>
              <w:rPr>
                <w:sz w:val="24"/>
              </w:rPr>
              <w:t xml:space="preserve"> Клиентам</w:t>
            </w:r>
            <w:r w:rsidR="0093033D">
              <w:rPr>
                <w:sz w:val="24"/>
              </w:rPr>
              <w:t xml:space="preserve"> </w:t>
            </w:r>
          </w:p>
          <w:p w14:paraId="53202584" w14:textId="77777777" w:rsidR="00611872" w:rsidRDefault="001E46F8" w:rsidP="0093033D">
            <w:pPr>
              <w:pStyle w:val="TableParagraph"/>
              <w:keepNext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 w:rsidRPr="00005EBD">
              <w:rPr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 w:rsidR="005367FE">
              <w:rPr>
                <w:sz w:val="24"/>
              </w:rPr>
              <w:t>оставляется возможность</w:t>
            </w:r>
            <w:r w:rsidRPr="00005EBD">
              <w:rPr>
                <w:sz w:val="24"/>
              </w:rPr>
              <w:t xml:space="preserve"> </w:t>
            </w:r>
            <w:r>
              <w:rPr>
                <w:sz w:val="24"/>
              </w:rPr>
              <w:t>совершени</w:t>
            </w:r>
            <w:r w:rsidR="005367FE">
              <w:rPr>
                <w:sz w:val="24"/>
              </w:rPr>
              <w:t xml:space="preserve">я </w:t>
            </w:r>
            <w:r>
              <w:rPr>
                <w:sz w:val="24"/>
              </w:rPr>
              <w:t>маржинальных</w:t>
            </w:r>
            <w:r w:rsidR="00F53BE8">
              <w:rPr>
                <w:sz w:val="24"/>
              </w:rPr>
              <w:t xml:space="preserve"> </w:t>
            </w:r>
          </w:p>
          <w:p w14:paraId="0EB846EB" w14:textId="0610F1FD" w:rsidR="002A1E63" w:rsidRDefault="001E46F8" w:rsidP="0093033D">
            <w:pPr>
              <w:pStyle w:val="TableParagraph"/>
              <w:keepNext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005EBD">
              <w:rPr>
                <w:sz w:val="24"/>
              </w:rPr>
              <w:t xml:space="preserve"> </w:t>
            </w:r>
            <w:r>
              <w:rPr>
                <w:sz w:val="24"/>
              </w:rPr>
              <w:t>необеспеченных сделок.</w:t>
            </w:r>
          </w:p>
        </w:tc>
      </w:tr>
      <w:tr w:rsidR="002A1E63" w14:paraId="3CC15E7F" w14:textId="77777777" w:rsidTr="00434C31">
        <w:trPr>
          <w:trHeight w:val="1276"/>
        </w:trPr>
        <w:tc>
          <w:tcPr>
            <w:tcW w:w="456" w:type="dxa"/>
          </w:tcPr>
          <w:p w14:paraId="29AA5A96" w14:textId="052CA13C" w:rsidR="002A1E63" w:rsidRDefault="00295270" w:rsidP="006323FE">
            <w:pPr>
              <w:pStyle w:val="TableParagraph"/>
              <w:keepNext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033" w:type="dxa"/>
          </w:tcPr>
          <w:p w14:paraId="0761E345" w14:textId="77777777" w:rsidR="002A1E63" w:rsidRDefault="00295270" w:rsidP="006323FE">
            <w:pPr>
              <w:pStyle w:val="TableParagraph"/>
              <w:keepNext/>
              <w:ind w:left="105" w:right="1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Возможность использования брокером </w:t>
            </w:r>
            <w:r>
              <w:rPr>
                <w:sz w:val="20"/>
              </w:rPr>
              <w:t>принадлежащих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Вам ценных бумаг</w:t>
            </w:r>
          </w:p>
        </w:tc>
        <w:tc>
          <w:tcPr>
            <w:tcW w:w="7575" w:type="dxa"/>
          </w:tcPr>
          <w:p w14:paraId="43C6CD5E" w14:textId="02C96D29" w:rsidR="002A1E63" w:rsidRPr="00C7013F" w:rsidRDefault="00D96A3D" w:rsidP="00C7013F">
            <w:pPr>
              <w:pStyle w:val="TableParagraph"/>
              <w:keepNext/>
              <w:spacing w:before="5"/>
              <w:jc w:val="both"/>
              <w:rPr>
                <w:sz w:val="24"/>
              </w:rPr>
            </w:pPr>
            <w:r>
              <w:rPr>
                <w:sz w:val="24"/>
              </w:rPr>
              <w:t>Брокер не совершает операций с использованием ценных бумаг</w:t>
            </w:r>
            <w:r w:rsidR="00C7013F">
              <w:rPr>
                <w:sz w:val="24"/>
              </w:rPr>
              <w:t xml:space="preserve"> </w:t>
            </w:r>
            <w:r>
              <w:rPr>
                <w:sz w:val="24"/>
              </w:rPr>
              <w:t>клиентов в</w:t>
            </w:r>
            <w:r w:rsidRPr="00C415A5">
              <w:rPr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 w:rsidRPr="00C415A5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интересах,</w:t>
            </w:r>
            <w:r w:rsidRPr="00C415A5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 w:rsidRPr="00C415A5">
              <w:rPr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 w:rsidRPr="00C415A5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Pr="00C415A5">
              <w:rPr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 w:rsidRPr="00C415A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C415A5">
              <w:rPr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 w:rsidRPr="00C415A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C415A5">
              <w:rPr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 w:rsidR="00B343F5">
              <w:rPr>
                <w:sz w:val="24"/>
              </w:rPr>
              <w:t xml:space="preserve"> отсутствуют.</w:t>
            </w:r>
          </w:p>
        </w:tc>
      </w:tr>
      <w:tr w:rsidR="002A1E63" w:rsidRPr="000F103A" w14:paraId="268D5C54" w14:textId="77777777" w:rsidTr="007906B9">
        <w:trPr>
          <w:trHeight w:val="1341"/>
        </w:trPr>
        <w:tc>
          <w:tcPr>
            <w:tcW w:w="456" w:type="dxa"/>
          </w:tcPr>
          <w:p w14:paraId="615315B0" w14:textId="76F4451D" w:rsidR="002A1E63" w:rsidRDefault="00295270">
            <w:pPr>
              <w:pStyle w:val="TableParagraph"/>
              <w:spacing w:line="202" w:lineRule="exact"/>
              <w:ind w:left="120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</w:t>
            </w:r>
            <w:r w:rsidR="005A35FB">
              <w:rPr>
                <w:spacing w:val="-5"/>
                <w:sz w:val="18"/>
              </w:rPr>
              <w:t>0</w:t>
            </w:r>
          </w:p>
        </w:tc>
        <w:tc>
          <w:tcPr>
            <w:tcW w:w="2033" w:type="dxa"/>
          </w:tcPr>
          <w:p w14:paraId="4B73DBD3" w14:textId="77777777" w:rsidR="002A1E63" w:rsidRDefault="00295270">
            <w:pPr>
              <w:pStyle w:val="TableParagraph"/>
              <w:ind w:left="105" w:right="440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подачи, сроки приема и </w:t>
            </w:r>
            <w:r>
              <w:rPr>
                <w:spacing w:val="-2"/>
                <w:sz w:val="20"/>
              </w:rPr>
              <w:t>исполнения поручений</w:t>
            </w:r>
          </w:p>
        </w:tc>
        <w:tc>
          <w:tcPr>
            <w:tcW w:w="7575" w:type="dxa"/>
          </w:tcPr>
          <w:p w14:paraId="6ADFF119" w14:textId="77777777" w:rsidR="00325F3E" w:rsidRDefault="00325F3E" w:rsidP="00EB2B0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Договором</w:t>
            </w:r>
            <w:r w:rsidR="00295270" w:rsidRPr="00325F3E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установлены</w:t>
            </w:r>
            <w:r w:rsidR="00295270" w:rsidRPr="00325F3E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следующие</w:t>
            </w:r>
            <w:r w:rsidR="00295270" w:rsidRPr="00325F3E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способы</w:t>
            </w:r>
            <w:r w:rsidR="00295270" w:rsidRPr="00325F3E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подачи,</w:t>
            </w:r>
            <w:r w:rsidR="00295270" w:rsidRPr="00325F3E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сроки</w:t>
            </w:r>
            <w:r w:rsidR="00295270" w:rsidRPr="00325F3E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приема</w:t>
            </w:r>
            <w:r w:rsidR="00295270" w:rsidRPr="00325F3E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 xml:space="preserve">и </w:t>
            </w:r>
            <w:r>
              <w:rPr>
                <w:sz w:val="24"/>
              </w:rPr>
              <w:t xml:space="preserve">  </w:t>
            </w:r>
          </w:p>
          <w:p w14:paraId="6D1187CF" w14:textId="77777777" w:rsidR="00325F3E" w:rsidRDefault="00325F3E" w:rsidP="00EB2B0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 xml:space="preserve">исполнения поручений: </w:t>
            </w:r>
            <w:r w:rsidR="00295270" w:rsidRPr="00325F3E">
              <w:rPr>
                <w:sz w:val="24"/>
              </w:rPr>
              <w:t xml:space="preserve">Глава </w:t>
            </w:r>
            <w:r w:rsidR="00954669" w:rsidRPr="00325F3E">
              <w:rPr>
                <w:sz w:val="24"/>
              </w:rPr>
              <w:t>10</w:t>
            </w:r>
            <w:r w:rsidR="00295270" w:rsidRPr="00325F3E">
              <w:rPr>
                <w:sz w:val="24"/>
              </w:rPr>
              <w:t xml:space="preserve">. </w:t>
            </w:r>
            <w:r w:rsidR="00954669" w:rsidRPr="00325F3E">
              <w:rPr>
                <w:sz w:val="24"/>
              </w:rPr>
              <w:t xml:space="preserve">Общие правила направления </w:t>
            </w:r>
          </w:p>
          <w:p w14:paraId="0FBA66E9" w14:textId="77777777" w:rsidR="00325F3E" w:rsidRDefault="00325F3E" w:rsidP="00EB2B0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54669" w:rsidRPr="00325F3E">
              <w:rPr>
                <w:sz w:val="24"/>
              </w:rPr>
              <w:t xml:space="preserve">Поручения и/или Сообщения Клиента </w:t>
            </w:r>
            <w:r w:rsidR="00FF59C0" w:rsidRPr="00325F3E">
              <w:rPr>
                <w:sz w:val="24"/>
              </w:rPr>
              <w:t xml:space="preserve">Регламента оказания услуг на </w:t>
            </w:r>
          </w:p>
          <w:p w14:paraId="6D9839E5" w14:textId="77777777" w:rsidR="00325F3E" w:rsidRDefault="00325F3E" w:rsidP="00EB2B0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F59C0" w:rsidRPr="00325F3E">
              <w:rPr>
                <w:sz w:val="24"/>
              </w:rPr>
              <w:t>финансовых рынках ООО «Первый Клиентский Банк»</w:t>
            </w:r>
            <w:r>
              <w:rPr>
                <w:sz w:val="24"/>
              </w:rPr>
              <w:t xml:space="preserve"> можно</w:t>
            </w:r>
            <w:r w:rsidRPr="006D69CE">
              <w:rPr>
                <w:sz w:val="24"/>
              </w:rPr>
              <w:t xml:space="preserve"> </w:t>
            </w:r>
          </w:p>
          <w:p w14:paraId="41A30897" w14:textId="6394DB7E" w:rsidR="002A1E63" w:rsidRPr="00A94714" w:rsidRDefault="00325F3E" w:rsidP="003D5DE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ознакомиться</w:t>
            </w:r>
            <w:r w:rsidRPr="006D69C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Pr="006D69CE">
              <w:rPr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 w:rsidRPr="006D69CE">
              <w:rPr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 w:rsidRPr="006D69CE">
              <w:rPr>
                <w:sz w:val="24"/>
              </w:rPr>
              <w:t xml:space="preserve"> </w:t>
            </w:r>
            <w:r>
              <w:rPr>
                <w:sz w:val="24"/>
              </w:rPr>
              <w:t>в р</w:t>
            </w:r>
            <w:r w:rsidR="003B5C6F">
              <w:rPr>
                <w:sz w:val="24"/>
              </w:rPr>
              <w:t xml:space="preserve">азделе </w:t>
            </w:r>
            <w:hyperlink r:id="rId15" w:history="1">
              <w:r w:rsidR="0033088F">
                <w:rPr>
                  <w:rStyle w:val="ad"/>
                </w:rPr>
                <w:t>Брокерское обслуживание (1cb.ru)</w:t>
              </w:r>
            </w:hyperlink>
            <w:r w:rsidR="00DC2739">
              <w:rPr>
                <w:rStyle w:val="ad"/>
              </w:rPr>
              <w:t>.</w:t>
            </w:r>
          </w:p>
        </w:tc>
      </w:tr>
      <w:tr w:rsidR="002A1E63" w14:paraId="171619C0" w14:textId="77777777" w:rsidTr="008D26BB">
        <w:trPr>
          <w:trHeight w:val="1376"/>
        </w:trPr>
        <w:tc>
          <w:tcPr>
            <w:tcW w:w="456" w:type="dxa"/>
          </w:tcPr>
          <w:p w14:paraId="181BC355" w14:textId="140C5DAD" w:rsidR="002A1E63" w:rsidRDefault="00295270">
            <w:pPr>
              <w:pStyle w:val="TableParagraph"/>
              <w:spacing w:line="202" w:lineRule="exact"/>
              <w:ind w:left="120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</w:t>
            </w:r>
            <w:r w:rsidR="005A35FB">
              <w:rPr>
                <w:spacing w:val="-5"/>
                <w:sz w:val="18"/>
              </w:rPr>
              <w:t>1</w:t>
            </w:r>
          </w:p>
        </w:tc>
        <w:tc>
          <w:tcPr>
            <w:tcW w:w="2033" w:type="dxa"/>
          </w:tcPr>
          <w:p w14:paraId="7C214BEC" w14:textId="77777777" w:rsidR="002A1E63" w:rsidRDefault="00295270">
            <w:pPr>
              <w:pStyle w:val="TableParagraph"/>
              <w:ind w:left="105" w:right="144"/>
              <w:rPr>
                <w:sz w:val="20"/>
              </w:rPr>
            </w:pPr>
            <w:r>
              <w:rPr>
                <w:sz w:val="20"/>
              </w:rPr>
              <w:t>Способ и сроки получения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клиентом отчета брокера</w:t>
            </w:r>
          </w:p>
        </w:tc>
        <w:tc>
          <w:tcPr>
            <w:tcW w:w="7575" w:type="dxa"/>
          </w:tcPr>
          <w:p w14:paraId="2F6EE1BF" w14:textId="77777777" w:rsidR="001D5C35" w:rsidRDefault="001D5C35" w:rsidP="007164B8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 xml:space="preserve">Договором установлены следующие сроки и способ получения клиентом </w:t>
            </w:r>
            <w:r>
              <w:rPr>
                <w:sz w:val="24"/>
              </w:rPr>
              <w:t xml:space="preserve"> </w:t>
            </w:r>
          </w:p>
          <w:p w14:paraId="465F01B5" w14:textId="3234C2B7" w:rsidR="001D5C35" w:rsidRDefault="001D5C35" w:rsidP="007164B8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 xml:space="preserve">отчета брокера: </w:t>
            </w:r>
            <w:r w:rsidR="00FD2C51" w:rsidRPr="00F26C3C">
              <w:rPr>
                <w:sz w:val="24"/>
              </w:rPr>
              <w:t>Глава</w:t>
            </w:r>
            <w:r w:rsidR="00295270" w:rsidRPr="007164B8">
              <w:rPr>
                <w:sz w:val="24"/>
              </w:rPr>
              <w:t xml:space="preserve"> </w:t>
            </w:r>
            <w:r w:rsidR="002E6185" w:rsidRPr="007164B8">
              <w:rPr>
                <w:sz w:val="24"/>
              </w:rPr>
              <w:t xml:space="preserve">33 </w:t>
            </w:r>
            <w:bookmarkStart w:id="1" w:name="_Toc497027620"/>
            <w:bookmarkStart w:id="2" w:name="_Toc196138177"/>
            <w:bookmarkStart w:id="3" w:name="_Toc453859405"/>
            <w:r w:rsidR="002E6185" w:rsidRPr="007164B8">
              <w:rPr>
                <w:sz w:val="24"/>
              </w:rPr>
              <w:t>Отчетность</w:t>
            </w:r>
            <w:bookmarkEnd w:id="1"/>
            <w:bookmarkEnd w:id="2"/>
            <w:r w:rsidR="002E6185" w:rsidRPr="007164B8">
              <w:rPr>
                <w:sz w:val="24"/>
              </w:rPr>
              <w:t xml:space="preserve"> Банка. Порядок составления и </w:t>
            </w:r>
          </w:p>
          <w:p w14:paraId="397F51A3" w14:textId="77777777" w:rsidR="001D5C35" w:rsidRDefault="001D5C35" w:rsidP="007164B8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E6185" w:rsidRPr="007164B8">
              <w:rPr>
                <w:sz w:val="24"/>
              </w:rPr>
              <w:t>предоставления отчетов</w:t>
            </w:r>
            <w:bookmarkEnd w:id="3"/>
            <w:r w:rsidR="002E6185" w:rsidRPr="007164B8">
              <w:rPr>
                <w:sz w:val="24"/>
              </w:rPr>
              <w:t xml:space="preserve"> Регламента оказания услуг на финансовых </w:t>
            </w:r>
          </w:p>
          <w:p w14:paraId="26D9020E" w14:textId="77777777" w:rsidR="009747E3" w:rsidRDefault="001D5C35" w:rsidP="00971CD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E6185" w:rsidRPr="007164B8">
              <w:rPr>
                <w:sz w:val="24"/>
              </w:rPr>
              <w:t>рынках ООО «Первый Клиентский Банк»</w:t>
            </w:r>
            <w:r w:rsidR="00756C05">
              <w:rPr>
                <w:sz w:val="24"/>
              </w:rPr>
              <w:t xml:space="preserve"> можно</w:t>
            </w:r>
            <w:r w:rsidR="00756C05" w:rsidRPr="006D69CE">
              <w:rPr>
                <w:sz w:val="24"/>
              </w:rPr>
              <w:t xml:space="preserve"> </w:t>
            </w:r>
            <w:r w:rsidR="00756C05">
              <w:rPr>
                <w:sz w:val="24"/>
              </w:rPr>
              <w:t>ознакомиться</w:t>
            </w:r>
            <w:r w:rsidR="00756C05" w:rsidRPr="006D69CE">
              <w:rPr>
                <w:sz w:val="24"/>
              </w:rPr>
              <w:t xml:space="preserve"> </w:t>
            </w:r>
            <w:r w:rsidR="00756C05">
              <w:rPr>
                <w:sz w:val="24"/>
              </w:rPr>
              <w:t>на</w:t>
            </w:r>
            <w:r w:rsidR="00756C05" w:rsidRPr="006D69CE">
              <w:rPr>
                <w:sz w:val="24"/>
              </w:rPr>
              <w:t xml:space="preserve"> </w:t>
            </w:r>
            <w:r w:rsidR="00756C05">
              <w:rPr>
                <w:sz w:val="24"/>
              </w:rPr>
              <w:t>сайте</w:t>
            </w:r>
            <w:r w:rsidR="00756C05" w:rsidRPr="006D69CE">
              <w:rPr>
                <w:sz w:val="24"/>
              </w:rPr>
              <w:t xml:space="preserve"> </w:t>
            </w:r>
          </w:p>
          <w:p w14:paraId="7EAEE863" w14:textId="7BC4F3C3" w:rsidR="002A1E63" w:rsidRDefault="009747E3" w:rsidP="00971CD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56C05">
              <w:rPr>
                <w:sz w:val="24"/>
              </w:rPr>
              <w:t>Банка</w:t>
            </w:r>
            <w:r w:rsidR="00756C05" w:rsidRPr="006D69CE">
              <w:rPr>
                <w:sz w:val="24"/>
              </w:rPr>
              <w:t xml:space="preserve"> </w:t>
            </w:r>
            <w:r w:rsidR="00756C05">
              <w:rPr>
                <w:sz w:val="24"/>
              </w:rPr>
              <w:t>в р</w:t>
            </w:r>
            <w:r w:rsidR="00971CDD">
              <w:rPr>
                <w:sz w:val="24"/>
              </w:rPr>
              <w:t xml:space="preserve">азделе </w:t>
            </w:r>
            <w:hyperlink r:id="rId16" w:history="1">
              <w:r w:rsidR="00B06792">
                <w:rPr>
                  <w:rStyle w:val="ad"/>
                </w:rPr>
                <w:t>Брокерское обслуживание (1cb.ru)</w:t>
              </w:r>
            </w:hyperlink>
            <w:r w:rsidR="00DC2739">
              <w:rPr>
                <w:rStyle w:val="ad"/>
              </w:rPr>
              <w:t>.</w:t>
            </w:r>
          </w:p>
        </w:tc>
      </w:tr>
      <w:tr w:rsidR="002A1E63" w14:paraId="37A60B56" w14:textId="77777777">
        <w:trPr>
          <w:trHeight w:val="1103"/>
        </w:trPr>
        <w:tc>
          <w:tcPr>
            <w:tcW w:w="456" w:type="dxa"/>
          </w:tcPr>
          <w:p w14:paraId="45E690EC" w14:textId="39727E4E" w:rsidR="002A1E63" w:rsidRDefault="00295270">
            <w:pPr>
              <w:pStyle w:val="TableParagraph"/>
              <w:spacing w:line="202" w:lineRule="exact"/>
              <w:ind w:left="120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</w:t>
            </w:r>
            <w:r w:rsidR="005A35FB">
              <w:rPr>
                <w:spacing w:val="-5"/>
                <w:sz w:val="18"/>
              </w:rPr>
              <w:t>2</w:t>
            </w:r>
          </w:p>
        </w:tc>
        <w:tc>
          <w:tcPr>
            <w:tcW w:w="2033" w:type="dxa"/>
          </w:tcPr>
          <w:p w14:paraId="39529416" w14:textId="77777777" w:rsidR="002A1E63" w:rsidRDefault="00295270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Ограничение ответственности брокера</w:t>
            </w:r>
          </w:p>
        </w:tc>
        <w:tc>
          <w:tcPr>
            <w:tcW w:w="7575" w:type="dxa"/>
          </w:tcPr>
          <w:p w14:paraId="590663EC" w14:textId="77777777" w:rsidR="0004291D" w:rsidRDefault="0004291D" w:rsidP="003440C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В</w:t>
            </w:r>
            <w:r w:rsidR="00295270" w:rsidRPr="00756C05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соответствии</w:t>
            </w:r>
            <w:r w:rsidR="00295270" w:rsidRPr="00756C05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с</w:t>
            </w:r>
            <w:r w:rsidR="00295270" w:rsidRPr="00756C05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договором,</w:t>
            </w:r>
            <w:r w:rsidR="00295270" w:rsidRPr="00756C05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ответственность</w:t>
            </w:r>
            <w:r w:rsidR="00295270" w:rsidRPr="00756C05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брокера</w:t>
            </w:r>
            <w:r w:rsidR="00295270" w:rsidRPr="00756C05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ограничена</w:t>
            </w:r>
            <w:r w:rsidR="00295270" w:rsidRPr="00756C05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 xml:space="preserve">в </w:t>
            </w:r>
          </w:p>
          <w:p w14:paraId="1F870294" w14:textId="77777777" w:rsidR="0004291D" w:rsidRDefault="0004291D" w:rsidP="003440C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следующих случаях:</w:t>
            </w:r>
            <w:r w:rsidR="00295270" w:rsidRPr="00756C05">
              <w:rPr>
                <w:sz w:val="24"/>
              </w:rPr>
              <w:t xml:space="preserve"> Глава </w:t>
            </w:r>
            <w:r w:rsidR="00384C99" w:rsidRPr="00756C05">
              <w:rPr>
                <w:sz w:val="24"/>
              </w:rPr>
              <w:t>40</w:t>
            </w:r>
            <w:r w:rsidR="00295270" w:rsidRPr="00756C05">
              <w:rPr>
                <w:sz w:val="24"/>
              </w:rPr>
              <w:t>. Ответственность</w:t>
            </w:r>
            <w:r w:rsidR="00384C99" w:rsidRPr="00756C05">
              <w:rPr>
                <w:sz w:val="24"/>
              </w:rPr>
              <w:t>, права</w:t>
            </w:r>
            <w:r w:rsidR="00295270" w:rsidRPr="00756C05">
              <w:rPr>
                <w:sz w:val="24"/>
              </w:rPr>
              <w:t xml:space="preserve"> </w:t>
            </w:r>
            <w:r w:rsidR="00384C99" w:rsidRPr="00756C05">
              <w:rPr>
                <w:sz w:val="24"/>
              </w:rPr>
              <w:t xml:space="preserve">и обязанности </w:t>
            </w:r>
            <w:r>
              <w:rPr>
                <w:sz w:val="24"/>
              </w:rPr>
              <w:t xml:space="preserve">   </w:t>
            </w:r>
          </w:p>
          <w:p w14:paraId="617EF5C7" w14:textId="77777777" w:rsidR="00B87B0E" w:rsidRDefault="0004291D" w:rsidP="003440C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95270" w:rsidRPr="00756C05">
              <w:rPr>
                <w:sz w:val="24"/>
              </w:rPr>
              <w:t xml:space="preserve">Сторон </w:t>
            </w:r>
            <w:r w:rsidR="00D53099" w:rsidRPr="00756C05">
              <w:rPr>
                <w:sz w:val="24"/>
              </w:rPr>
              <w:t xml:space="preserve">Регламента оказания услуг на финансовых рынках ООО </w:t>
            </w:r>
          </w:p>
          <w:p w14:paraId="728A06BF" w14:textId="77777777" w:rsidR="003337B8" w:rsidRDefault="00B87B0E" w:rsidP="003440C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3099" w:rsidRPr="00756C05">
              <w:rPr>
                <w:sz w:val="24"/>
              </w:rPr>
              <w:t>«Первый</w:t>
            </w:r>
            <w:r>
              <w:rPr>
                <w:sz w:val="24"/>
              </w:rPr>
              <w:t xml:space="preserve"> </w:t>
            </w:r>
            <w:r w:rsidR="00D53099" w:rsidRPr="00756C05">
              <w:rPr>
                <w:sz w:val="24"/>
              </w:rPr>
              <w:t>Клиентский Банк»</w:t>
            </w:r>
            <w:r w:rsidR="00025A1C" w:rsidRPr="00756C05">
              <w:rPr>
                <w:sz w:val="24"/>
              </w:rPr>
              <w:t xml:space="preserve"> </w:t>
            </w:r>
            <w:r w:rsidR="00756C05">
              <w:rPr>
                <w:sz w:val="24"/>
              </w:rPr>
              <w:t>можно</w:t>
            </w:r>
            <w:r w:rsidR="00756C05" w:rsidRPr="006D69CE">
              <w:rPr>
                <w:sz w:val="24"/>
              </w:rPr>
              <w:t xml:space="preserve"> </w:t>
            </w:r>
            <w:r w:rsidR="00756C05">
              <w:rPr>
                <w:sz w:val="24"/>
              </w:rPr>
              <w:t>ознакомиться</w:t>
            </w:r>
            <w:r w:rsidR="00756C05" w:rsidRPr="006D69CE">
              <w:rPr>
                <w:sz w:val="24"/>
              </w:rPr>
              <w:t xml:space="preserve"> </w:t>
            </w:r>
            <w:r w:rsidR="00756C05">
              <w:rPr>
                <w:sz w:val="24"/>
              </w:rPr>
              <w:t>на</w:t>
            </w:r>
            <w:r w:rsidR="00756C05" w:rsidRPr="006D69CE">
              <w:rPr>
                <w:sz w:val="24"/>
              </w:rPr>
              <w:t xml:space="preserve"> </w:t>
            </w:r>
            <w:r w:rsidR="00756C05">
              <w:rPr>
                <w:sz w:val="24"/>
              </w:rPr>
              <w:t>сайте</w:t>
            </w:r>
            <w:r w:rsidR="00756C05" w:rsidRPr="006D69CE">
              <w:rPr>
                <w:sz w:val="24"/>
              </w:rPr>
              <w:t xml:space="preserve"> </w:t>
            </w:r>
            <w:r w:rsidR="00756C05">
              <w:rPr>
                <w:sz w:val="24"/>
              </w:rPr>
              <w:t>Банка</w:t>
            </w:r>
            <w:r w:rsidR="00756C05" w:rsidRPr="006D69CE">
              <w:rPr>
                <w:sz w:val="24"/>
              </w:rPr>
              <w:t xml:space="preserve"> </w:t>
            </w:r>
            <w:r w:rsidR="006947AE">
              <w:rPr>
                <w:sz w:val="24"/>
              </w:rPr>
              <w:t xml:space="preserve">в </w:t>
            </w:r>
          </w:p>
          <w:p w14:paraId="3B549A08" w14:textId="6D8636CD" w:rsidR="002A1E63" w:rsidRPr="003337B8" w:rsidRDefault="003337B8" w:rsidP="003440C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947AE">
              <w:rPr>
                <w:sz w:val="24"/>
              </w:rPr>
              <w:t xml:space="preserve">разделе </w:t>
            </w:r>
            <w:hyperlink r:id="rId17" w:history="1">
              <w:r w:rsidR="00025A1C">
                <w:rPr>
                  <w:rStyle w:val="ad"/>
                </w:rPr>
                <w:t>Брокерское обслуживание (1cb.ru)</w:t>
              </w:r>
            </w:hyperlink>
            <w:r w:rsidR="00264687">
              <w:rPr>
                <w:rStyle w:val="ad"/>
              </w:rPr>
              <w:t xml:space="preserve">. </w:t>
            </w:r>
          </w:p>
        </w:tc>
      </w:tr>
      <w:tr w:rsidR="002A1E63" w14:paraId="0FB22A36" w14:textId="77777777" w:rsidTr="00E13AA6">
        <w:trPr>
          <w:trHeight w:val="568"/>
        </w:trPr>
        <w:tc>
          <w:tcPr>
            <w:tcW w:w="456" w:type="dxa"/>
          </w:tcPr>
          <w:p w14:paraId="5029830C" w14:textId="7864429C" w:rsidR="002A1E63" w:rsidRDefault="00295270">
            <w:pPr>
              <w:pStyle w:val="TableParagraph"/>
              <w:spacing w:line="202" w:lineRule="exact"/>
              <w:ind w:left="120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</w:t>
            </w:r>
            <w:r w:rsidR="005A35FB">
              <w:rPr>
                <w:spacing w:val="-5"/>
                <w:sz w:val="18"/>
              </w:rPr>
              <w:t>3</w:t>
            </w:r>
          </w:p>
        </w:tc>
        <w:tc>
          <w:tcPr>
            <w:tcW w:w="2033" w:type="dxa"/>
          </w:tcPr>
          <w:p w14:paraId="63955686" w14:textId="77777777" w:rsidR="002A1E63" w:rsidRDefault="00295270">
            <w:pPr>
              <w:pStyle w:val="TableParagraph"/>
              <w:ind w:left="105" w:right="29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Осуществление </w:t>
            </w:r>
            <w:r>
              <w:rPr>
                <w:sz w:val="20"/>
              </w:rPr>
              <w:t>брокером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функций налогового агента</w:t>
            </w:r>
          </w:p>
        </w:tc>
        <w:tc>
          <w:tcPr>
            <w:tcW w:w="7575" w:type="dxa"/>
          </w:tcPr>
          <w:p w14:paraId="10D08378" w14:textId="77777777" w:rsidR="00E958A7" w:rsidRDefault="00E958A7" w:rsidP="002E025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1143E" w:rsidRPr="00475B25">
              <w:rPr>
                <w:sz w:val="24"/>
              </w:rPr>
              <w:t xml:space="preserve">В случаях, установленных действующим налоговым законодательством, </w:t>
            </w:r>
          </w:p>
          <w:p w14:paraId="6FAFE9F3" w14:textId="36779E08" w:rsidR="006D76D5" w:rsidRDefault="00E958A7" w:rsidP="002E025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1143E" w:rsidRPr="00475B25">
              <w:rPr>
                <w:sz w:val="24"/>
              </w:rPr>
              <w:t xml:space="preserve">брокер, как налоговый агент, осуществляет исчисление </w:t>
            </w:r>
            <w:r>
              <w:rPr>
                <w:sz w:val="24"/>
              </w:rPr>
              <w:t xml:space="preserve"> </w:t>
            </w:r>
            <w:r w:rsidR="006D76D5">
              <w:rPr>
                <w:sz w:val="24"/>
              </w:rPr>
              <w:t xml:space="preserve">  </w:t>
            </w:r>
          </w:p>
          <w:p w14:paraId="473ABF9D" w14:textId="25F65F91" w:rsidR="00E958A7" w:rsidRDefault="006D76D5" w:rsidP="002E025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1143E" w:rsidRPr="00475B25">
              <w:rPr>
                <w:sz w:val="24"/>
              </w:rPr>
              <w:t>налогооблагаемой базы и удерживает налог с доходов Клиента</w:t>
            </w:r>
            <w:r w:rsidR="00C1143E">
              <w:rPr>
                <w:sz w:val="24"/>
              </w:rPr>
              <w:t xml:space="preserve">: </w:t>
            </w:r>
            <w:r w:rsidR="00BB606A" w:rsidRPr="00756C05">
              <w:rPr>
                <w:sz w:val="24"/>
              </w:rPr>
              <w:t>Глава</w:t>
            </w:r>
            <w:r w:rsidR="00C54D95">
              <w:rPr>
                <w:sz w:val="24"/>
              </w:rPr>
              <w:t xml:space="preserve"> </w:t>
            </w:r>
            <w:r w:rsidR="00BB606A">
              <w:rPr>
                <w:sz w:val="24"/>
              </w:rPr>
              <w:t>37</w:t>
            </w:r>
            <w:r w:rsidR="00C1143E">
              <w:rPr>
                <w:sz w:val="24"/>
              </w:rPr>
              <w:t xml:space="preserve">. </w:t>
            </w:r>
          </w:p>
          <w:p w14:paraId="2CC4EAFE" w14:textId="77777777" w:rsidR="00E958A7" w:rsidRDefault="00E958A7" w:rsidP="002E025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1143E" w:rsidRPr="00475B25">
              <w:rPr>
                <w:sz w:val="24"/>
              </w:rPr>
              <w:t>Налогообложение по Брокерскому счету</w:t>
            </w:r>
            <w:r w:rsidR="00C1143E" w:rsidRPr="00756C05">
              <w:rPr>
                <w:sz w:val="24"/>
              </w:rPr>
              <w:t xml:space="preserve"> </w:t>
            </w:r>
            <w:r w:rsidR="00BB606A" w:rsidRPr="00756C05">
              <w:rPr>
                <w:sz w:val="24"/>
              </w:rPr>
              <w:t xml:space="preserve">Регламента оказания услуг на </w:t>
            </w:r>
          </w:p>
          <w:p w14:paraId="3E92EBEB" w14:textId="2822C3D5" w:rsidR="006D76D5" w:rsidRDefault="00E958A7" w:rsidP="002E0259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B606A" w:rsidRPr="00756C05">
              <w:rPr>
                <w:sz w:val="24"/>
              </w:rPr>
              <w:t xml:space="preserve">финансовых рынках ООО «Первый Клиентский Банк» </w:t>
            </w:r>
            <w:r w:rsidR="00BB606A">
              <w:rPr>
                <w:sz w:val="24"/>
              </w:rPr>
              <w:t>можно</w:t>
            </w:r>
            <w:r w:rsidR="00BB606A" w:rsidRPr="006D69CE">
              <w:rPr>
                <w:sz w:val="24"/>
              </w:rPr>
              <w:t xml:space="preserve"> </w:t>
            </w:r>
          </w:p>
          <w:p w14:paraId="75350FF5" w14:textId="7A4AA599" w:rsidR="002A1E63" w:rsidRDefault="006D76D5" w:rsidP="0020302D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B606A">
              <w:rPr>
                <w:sz w:val="24"/>
              </w:rPr>
              <w:t>ознакомиться</w:t>
            </w:r>
            <w:r w:rsidR="00BB606A" w:rsidRPr="006D69CE">
              <w:rPr>
                <w:sz w:val="24"/>
              </w:rPr>
              <w:t xml:space="preserve"> </w:t>
            </w:r>
            <w:r w:rsidR="00BB606A">
              <w:rPr>
                <w:sz w:val="24"/>
              </w:rPr>
              <w:t>на</w:t>
            </w:r>
            <w:r w:rsidR="00BB606A" w:rsidRPr="006D69CE">
              <w:rPr>
                <w:sz w:val="24"/>
              </w:rPr>
              <w:t xml:space="preserve"> </w:t>
            </w:r>
            <w:r w:rsidR="00BB606A">
              <w:rPr>
                <w:sz w:val="24"/>
              </w:rPr>
              <w:t>сайте</w:t>
            </w:r>
            <w:r w:rsidR="00BB606A" w:rsidRPr="006D69CE">
              <w:rPr>
                <w:sz w:val="24"/>
              </w:rPr>
              <w:t xml:space="preserve"> </w:t>
            </w:r>
            <w:r w:rsidR="00BB606A">
              <w:rPr>
                <w:sz w:val="24"/>
              </w:rPr>
              <w:t>Банка</w:t>
            </w:r>
            <w:r w:rsidR="00BB606A" w:rsidRPr="006D69CE">
              <w:rPr>
                <w:sz w:val="24"/>
              </w:rPr>
              <w:t xml:space="preserve"> </w:t>
            </w:r>
            <w:r w:rsidR="00627DE2">
              <w:rPr>
                <w:sz w:val="24"/>
              </w:rPr>
              <w:t xml:space="preserve">в разделе </w:t>
            </w:r>
            <w:hyperlink r:id="rId18" w:history="1">
              <w:r w:rsidR="00475B25">
                <w:rPr>
                  <w:rStyle w:val="ad"/>
                </w:rPr>
                <w:t>Брокерское обслуживание (1cb.ru)</w:t>
              </w:r>
            </w:hyperlink>
            <w:r w:rsidR="00166408">
              <w:rPr>
                <w:rStyle w:val="ad"/>
              </w:rPr>
              <w:t xml:space="preserve">. </w:t>
            </w:r>
          </w:p>
        </w:tc>
      </w:tr>
      <w:tr w:rsidR="002A1E63" w14:paraId="68737A67" w14:textId="77777777">
        <w:trPr>
          <w:trHeight w:val="2483"/>
        </w:trPr>
        <w:tc>
          <w:tcPr>
            <w:tcW w:w="456" w:type="dxa"/>
          </w:tcPr>
          <w:p w14:paraId="410A0500" w14:textId="395C576E" w:rsidR="002A1E63" w:rsidRDefault="00295270">
            <w:pPr>
              <w:pStyle w:val="TableParagraph"/>
              <w:spacing w:line="202" w:lineRule="exact"/>
              <w:ind w:left="120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lastRenderedPageBreak/>
              <w:t>1</w:t>
            </w:r>
            <w:r w:rsidR="005A35FB">
              <w:rPr>
                <w:spacing w:val="-5"/>
                <w:sz w:val="18"/>
              </w:rPr>
              <w:t>4</w:t>
            </w:r>
          </w:p>
        </w:tc>
        <w:tc>
          <w:tcPr>
            <w:tcW w:w="2033" w:type="dxa"/>
          </w:tcPr>
          <w:p w14:paraId="386EB15C" w14:textId="77777777" w:rsidR="002A1E63" w:rsidRDefault="00295270">
            <w:pPr>
              <w:pStyle w:val="TableParagraph"/>
              <w:ind w:left="105" w:right="129"/>
              <w:rPr>
                <w:sz w:val="20"/>
              </w:rPr>
            </w:pPr>
            <w:r>
              <w:rPr>
                <w:sz w:val="20"/>
              </w:rPr>
              <w:t>О способах и адресах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направления обращений (жалоб)</w:t>
            </w:r>
          </w:p>
        </w:tc>
        <w:tc>
          <w:tcPr>
            <w:tcW w:w="7575" w:type="dxa"/>
          </w:tcPr>
          <w:p w14:paraId="0BCF9F9B" w14:textId="22C5EFD2" w:rsidR="00A74FE8" w:rsidRDefault="00A74FE8" w:rsidP="00EC5EBF">
            <w:pPr>
              <w:pStyle w:val="TableParagraph"/>
              <w:ind w:left="0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Вы</w:t>
            </w:r>
            <w:r w:rsidR="00295270">
              <w:rPr>
                <w:spacing w:val="-2"/>
                <w:sz w:val="24"/>
              </w:rPr>
              <w:t xml:space="preserve"> </w:t>
            </w:r>
            <w:r w:rsidR="00295270">
              <w:rPr>
                <w:sz w:val="24"/>
              </w:rPr>
              <w:t>можете</w:t>
            </w:r>
            <w:r w:rsidR="00295270">
              <w:rPr>
                <w:spacing w:val="-1"/>
                <w:sz w:val="24"/>
              </w:rPr>
              <w:t xml:space="preserve"> </w:t>
            </w:r>
            <w:r w:rsidR="00295270">
              <w:rPr>
                <w:sz w:val="24"/>
              </w:rPr>
              <w:t>направить</w:t>
            </w:r>
            <w:r w:rsidR="00295270">
              <w:rPr>
                <w:spacing w:val="2"/>
                <w:sz w:val="24"/>
              </w:rPr>
              <w:t xml:space="preserve"> </w:t>
            </w:r>
            <w:r w:rsidR="00295270">
              <w:rPr>
                <w:sz w:val="24"/>
              </w:rPr>
              <w:t xml:space="preserve">обращение </w:t>
            </w:r>
            <w:r w:rsidR="00295270">
              <w:rPr>
                <w:spacing w:val="-2"/>
                <w:sz w:val="24"/>
              </w:rPr>
              <w:t>(жалобу)</w:t>
            </w:r>
            <w:r w:rsidR="00DD3FD3">
              <w:rPr>
                <w:spacing w:val="-2"/>
                <w:sz w:val="24"/>
              </w:rPr>
              <w:t xml:space="preserve"> в Банк в соответствии с </w:t>
            </w:r>
            <w:r>
              <w:rPr>
                <w:spacing w:val="-2"/>
                <w:sz w:val="24"/>
              </w:rPr>
              <w:t xml:space="preserve"> </w:t>
            </w:r>
          </w:p>
          <w:p w14:paraId="00BB3524" w14:textId="4C570C0D" w:rsidR="00A74FE8" w:rsidRDefault="00A74FE8" w:rsidP="00EC5EB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6D17F8">
              <w:rPr>
                <w:sz w:val="24"/>
              </w:rPr>
              <w:t>Глава</w:t>
            </w:r>
            <w:r w:rsidR="00DD3FD3" w:rsidRPr="00DF1DC6">
              <w:rPr>
                <w:sz w:val="24"/>
              </w:rPr>
              <w:t xml:space="preserve"> 42</w:t>
            </w:r>
            <w:r w:rsidR="00CE7EF9" w:rsidRPr="00DF1DC6">
              <w:rPr>
                <w:sz w:val="24"/>
              </w:rPr>
              <w:t>.</w:t>
            </w:r>
            <w:r w:rsidR="00DD3FD3" w:rsidRPr="00DF1DC6">
              <w:rPr>
                <w:sz w:val="24"/>
              </w:rPr>
              <w:t xml:space="preserve"> </w:t>
            </w:r>
            <w:r w:rsidR="00CE7EF9" w:rsidRPr="00DF1DC6">
              <w:rPr>
                <w:sz w:val="24"/>
              </w:rPr>
              <w:t>Предъявление претензий и разрешение споров</w:t>
            </w:r>
            <w:r w:rsidRPr="00DF1DC6">
              <w:rPr>
                <w:sz w:val="24"/>
              </w:rPr>
              <w:t xml:space="preserve"> </w:t>
            </w:r>
            <w:r w:rsidRPr="00756C05">
              <w:rPr>
                <w:sz w:val="24"/>
              </w:rPr>
              <w:t xml:space="preserve">Регламента </w:t>
            </w:r>
            <w:r>
              <w:rPr>
                <w:sz w:val="24"/>
              </w:rPr>
              <w:t xml:space="preserve"> </w:t>
            </w:r>
          </w:p>
          <w:p w14:paraId="35AA42E0" w14:textId="3A5FA29B" w:rsidR="00A3276D" w:rsidRDefault="00A74FE8" w:rsidP="00EC5EB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56C05">
              <w:rPr>
                <w:sz w:val="24"/>
              </w:rPr>
              <w:t>оказания услуг на финансовых рынках ООО «Первый</w:t>
            </w:r>
            <w:r>
              <w:rPr>
                <w:sz w:val="24"/>
              </w:rPr>
              <w:t xml:space="preserve"> </w:t>
            </w:r>
            <w:r w:rsidRPr="00756C05">
              <w:rPr>
                <w:sz w:val="24"/>
              </w:rPr>
              <w:t xml:space="preserve">Клиентский Банк» </w:t>
            </w:r>
          </w:p>
          <w:p w14:paraId="64000CE8" w14:textId="77777777" w:rsidR="008C7C9C" w:rsidRDefault="00A3276D" w:rsidP="00DF1DC6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74FE8">
              <w:rPr>
                <w:sz w:val="24"/>
              </w:rPr>
              <w:t>можно</w:t>
            </w:r>
            <w:r w:rsidR="00A74FE8" w:rsidRPr="006D69CE">
              <w:rPr>
                <w:sz w:val="24"/>
              </w:rPr>
              <w:t xml:space="preserve"> </w:t>
            </w:r>
            <w:r w:rsidR="00A74FE8">
              <w:rPr>
                <w:sz w:val="24"/>
              </w:rPr>
              <w:t>ознакомиться</w:t>
            </w:r>
            <w:r w:rsidR="00A74FE8" w:rsidRPr="006D69CE">
              <w:rPr>
                <w:sz w:val="24"/>
              </w:rPr>
              <w:t xml:space="preserve"> </w:t>
            </w:r>
            <w:r w:rsidR="00A74FE8">
              <w:rPr>
                <w:sz w:val="24"/>
              </w:rPr>
              <w:t>на</w:t>
            </w:r>
            <w:r w:rsidR="00A74FE8" w:rsidRPr="006D69CE">
              <w:rPr>
                <w:sz w:val="24"/>
              </w:rPr>
              <w:t xml:space="preserve"> </w:t>
            </w:r>
            <w:r w:rsidR="00A74FE8">
              <w:rPr>
                <w:sz w:val="24"/>
              </w:rPr>
              <w:t>сайте</w:t>
            </w:r>
            <w:r w:rsidR="00A74FE8" w:rsidRPr="006D69CE">
              <w:rPr>
                <w:sz w:val="24"/>
              </w:rPr>
              <w:t xml:space="preserve"> </w:t>
            </w:r>
            <w:r w:rsidR="00A74FE8">
              <w:rPr>
                <w:sz w:val="24"/>
              </w:rPr>
              <w:t>Банка</w:t>
            </w:r>
            <w:r w:rsidR="00A74FE8" w:rsidRPr="006D69CE">
              <w:rPr>
                <w:sz w:val="24"/>
              </w:rPr>
              <w:t xml:space="preserve"> </w:t>
            </w:r>
            <w:r w:rsidR="00B95129">
              <w:rPr>
                <w:sz w:val="24"/>
              </w:rPr>
              <w:t xml:space="preserve">в разделе </w:t>
            </w:r>
          </w:p>
          <w:p w14:paraId="0996E088" w14:textId="20E13075" w:rsidR="002A1E63" w:rsidRDefault="008C7C9C" w:rsidP="00DF1DC6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19" w:history="1">
              <w:r w:rsidR="00A74FE8">
                <w:rPr>
                  <w:rStyle w:val="ad"/>
                </w:rPr>
                <w:t>Брокерское обслуживание (1cb.ru)</w:t>
              </w:r>
            </w:hyperlink>
            <w:r w:rsidR="000D2D71">
              <w:rPr>
                <w:rStyle w:val="ad"/>
              </w:rPr>
              <w:t xml:space="preserve">. </w:t>
            </w:r>
          </w:p>
          <w:p w14:paraId="24EBB58A" w14:textId="120588B8" w:rsidR="005F2F15" w:rsidRDefault="005F2F15" w:rsidP="007B1D8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Также Вы можете направить жалобу (обращение) о возможном</w:t>
            </w:r>
            <w:r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 xml:space="preserve"> </w:t>
            </w:r>
          </w:p>
          <w:p w14:paraId="503F8F92" w14:textId="795AC34C" w:rsidR="005F2F15" w:rsidRDefault="005F2F15" w:rsidP="007B1D8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 xml:space="preserve">нарушении брокером требований законодательства Российской </w:t>
            </w:r>
          </w:p>
          <w:p w14:paraId="19D604B2" w14:textId="77777777" w:rsidR="007C17AB" w:rsidRDefault="005F2F15" w:rsidP="007B1D8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Федерации</w:t>
            </w:r>
            <w:r w:rsidR="00295270" w:rsidRPr="00DF1DC6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о</w:t>
            </w:r>
            <w:r w:rsidR="00295270" w:rsidRPr="00DF1DC6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рынке</w:t>
            </w:r>
            <w:r w:rsidR="00295270" w:rsidRPr="00DF1DC6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ценных</w:t>
            </w:r>
            <w:r w:rsidR="00295270" w:rsidRPr="00DF1DC6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бумаг</w:t>
            </w:r>
            <w:r w:rsidR="00295270" w:rsidRPr="00DF1DC6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в</w:t>
            </w:r>
            <w:r w:rsidR="00295270" w:rsidRPr="00DF1DC6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Банк</w:t>
            </w:r>
            <w:r w:rsidR="00295270" w:rsidRPr="00DF1DC6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России</w:t>
            </w:r>
            <w:r w:rsidR="00EB0BB4" w:rsidRPr="00EB0BB4">
              <w:rPr>
                <w:sz w:val="24"/>
              </w:rPr>
              <w:t xml:space="preserve"> посредством почтовой </w:t>
            </w:r>
          </w:p>
          <w:p w14:paraId="4F7D05F8" w14:textId="77777777" w:rsidR="007C17AB" w:rsidRDefault="007C17AB" w:rsidP="007B1D8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B0BB4" w:rsidRPr="00EB0BB4">
              <w:rPr>
                <w:sz w:val="24"/>
              </w:rPr>
              <w:t xml:space="preserve">отправки по адресу г. Москва, ул. Неглинная, 12 либо при личном </w:t>
            </w:r>
            <w:r>
              <w:rPr>
                <w:sz w:val="24"/>
              </w:rPr>
              <w:t xml:space="preserve"> </w:t>
            </w:r>
          </w:p>
          <w:p w14:paraId="62B76EA3" w14:textId="77777777" w:rsidR="007C17AB" w:rsidRDefault="007C17AB" w:rsidP="007B1D8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B0BB4" w:rsidRPr="00EB0BB4">
              <w:rPr>
                <w:sz w:val="24"/>
              </w:rPr>
              <w:t xml:space="preserve">обращении в Общественную приемную Банка России по адресу г. </w:t>
            </w:r>
          </w:p>
          <w:p w14:paraId="29803272" w14:textId="77777777" w:rsidR="007C17AB" w:rsidRDefault="007C17AB" w:rsidP="007B1D8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B0BB4" w:rsidRPr="00EB0BB4">
              <w:rPr>
                <w:sz w:val="24"/>
              </w:rPr>
              <w:t>Москва, Сандуновский пер., д. 3, стр. 1</w:t>
            </w:r>
            <w:r w:rsidR="00D47DC3">
              <w:rPr>
                <w:sz w:val="24"/>
              </w:rPr>
              <w:t>,</w:t>
            </w:r>
            <w:r w:rsidR="00EB0BB4" w:rsidRPr="00EB0BB4">
              <w:rPr>
                <w:sz w:val="24"/>
              </w:rPr>
              <w:t xml:space="preserve"> либо в сети «Интернет» через </w:t>
            </w:r>
            <w:r>
              <w:rPr>
                <w:sz w:val="24"/>
              </w:rPr>
              <w:t xml:space="preserve"> </w:t>
            </w:r>
          </w:p>
          <w:p w14:paraId="0AA6C89D" w14:textId="70D45A8C" w:rsidR="005F2F15" w:rsidRDefault="007C17AB" w:rsidP="007B1D8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B0BB4" w:rsidRPr="00EB0BB4">
              <w:rPr>
                <w:sz w:val="24"/>
              </w:rPr>
              <w:t>Интернет-приемную Банка России на сайте </w:t>
            </w:r>
            <w:hyperlink r:id="rId20" w:history="1">
              <w:r w:rsidR="00EB0BB4" w:rsidRPr="00396E7C">
                <w:rPr>
                  <w:rStyle w:val="ad"/>
                </w:rPr>
                <w:t>www.cbr.ru</w:t>
              </w:r>
            </w:hyperlink>
            <w:r w:rsidR="00295270">
              <w:rPr>
                <w:sz w:val="24"/>
              </w:rPr>
              <w:t>,</w:t>
            </w:r>
            <w:r w:rsidR="00295270" w:rsidRPr="00DF1DC6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и</w:t>
            </w:r>
            <w:r w:rsidR="00295270" w:rsidRPr="00DF1DC6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о</w:t>
            </w:r>
            <w:r w:rsidR="00295270" w:rsidRPr="00DF1DC6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 xml:space="preserve">возможном </w:t>
            </w:r>
          </w:p>
          <w:p w14:paraId="7C30672B" w14:textId="56EBC6CB" w:rsidR="002A1E63" w:rsidRDefault="005F2F15" w:rsidP="007B1D8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нарушении</w:t>
            </w:r>
            <w:r w:rsidR="00295270" w:rsidRPr="00DF1DC6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базовых и</w:t>
            </w:r>
            <w:r w:rsidR="00295270" w:rsidRPr="00DF1DC6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внутренних стандартов</w:t>
            </w:r>
            <w:r w:rsidR="00295270" w:rsidRPr="00DF1DC6">
              <w:rPr>
                <w:sz w:val="24"/>
              </w:rPr>
              <w:t xml:space="preserve"> саморегулируемой</w:t>
            </w:r>
          </w:p>
          <w:p w14:paraId="3A490216" w14:textId="2E362BB8" w:rsidR="005F2F15" w:rsidRDefault="005F2F15" w:rsidP="007B1D8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организации</w:t>
            </w:r>
            <w:r w:rsidR="00295270" w:rsidRPr="00DF1DC6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в</w:t>
            </w:r>
            <w:r w:rsidR="00295270" w:rsidRPr="00DF1DC6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сфере</w:t>
            </w:r>
            <w:r w:rsidR="00295270" w:rsidRPr="00DF1DC6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финансового</w:t>
            </w:r>
            <w:r w:rsidR="00295270" w:rsidRPr="00DF1DC6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рынка,</w:t>
            </w:r>
            <w:r w:rsidR="00295270" w:rsidRPr="00DF1DC6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объединяющей</w:t>
            </w:r>
            <w:r w:rsidR="00295270" w:rsidRPr="00DF1DC6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брокеров</w:t>
            </w:r>
            <w:r w:rsidR="00295270" w:rsidRPr="00DF1DC6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–</w:t>
            </w:r>
            <w:r w:rsidR="00295270" w:rsidRPr="00DF1DC6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 xml:space="preserve">в </w:t>
            </w:r>
          </w:p>
          <w:p w14:paraId="1A221A60" w14:textId="77777777" w:rsidR="007C17AB" w:rsidRDefault="005F2F15" w:rsidP="007B1D8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95270" w:rsidRPr="00DF1DC6">
              <w:rPr>
                <w:sz w:val="24"/>
              </w:rPr>
              <w:t>НАУФОР</w:t>
            </w:r>
            <w:r w:rsidR="00EB0BB4" w:rsidRPr="00EB0BB4">
              <w:rPr>
                <w:sz w:val="24"/>
              </w:rPr>
              <w:t xml:space="preserve"> по адресу: Москва, 129090, 1-й Коптельский пер., д. 18, </w:t>
            </w:r>
          </w:p>
          <w:p w14:paraId="67F2CB70" w14:textId="33EA6EA8" w:rsidR="002A1E63" w:rsidRDefault="007C17AB" w:rsidP="007B1D8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B0BB4" w:rsidRPr="00EB0BB4">
              <w:rPr>
                <w:sz w:val="24"/>
              </w:rPr>
              <w:t>стр.1, </w:t>
            </w:r>
            <w:hyperlink r:id="rId21" w:tgtFrame="_blank" w:history="1">
              <w:r w:rsidR="00EB0BB4" w:rsidRPr="00396E7C">
                <w:rPr>
                  <w:rStyle w:val="ad"/>
                </w:rPr>
                <w:t>www.naufor.ru</w:t>
              </w:r>
            </w:hyperlink>
            <w:r w:rsidR="00295270" w:rsidRPr="00DF1DC6">
              <w:rPr>
                <w:sz w:val="24"/>
              </w:rPr>
              <w:t>.</w:t>
            </w:r>
          </w:p>
        </w:tc>
      </w:tr>
      <w:tr w:rsidR="002A1E63" w14:paraId="412D27ED" w14:textId="77777777" w:rsidTr="00CD5E2B">
        <w:trPr>
          <w:trHeight w:val="1144"/>
        </w:trPr>
        <w:tc>
          <w:tcPr>
            <w:tcW w:w="456" w:type="dxa"/>
          </w:tcPr>
          <w:p w14:paraId="312B9EC8" w14:textId="2692DB13" w:rsidR="002A1E63" w:rsidRDefault="00295270">
            <w:pPr>
              <w:pStyle w:val="TableParagraph"/>
              <w:spacing w:line="202" w:lineRule="exact"/>
              <w:ind w:left="120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</w:t>
            </w:r>
            <w:r w:rsidR="005A35FB">
              <w:rPr>
                <w:spacing w:val="-5"/>
                <w:sz w:val="18"/>
              </w:rPr>
              <w:t>5</w:t>
            </w:r>
          </w:p>
        </w:tc>
        <w:tc>
          <w:tcPr>
            <w:tcW w:w="2033" w:type="dxa"/>
          </w:tcPr>
          <w:p w14:paraId="71771E91" w14:textId="77777777" w:rsidR="002A1E63" w:rsidRDefault="00295270">
            <w:pPr>
              <w:pStyle w:val="TableParagraph"/>
              <w:ind w:left="105" w:right="220"/>
              <w:rPr>
                <w:sz w:val="20"/>
              </w:rPr>
            </w:pPr>
            <w:r>
              <w:rPr>
                <w:spacing w:val="-2"/>
                <w:sz w:val="20"/>
              </w:rPr>
              <w:t>Порядок урегулирования споров</w:t>
            </w:r>
          </w:p>
        </w:tc>
        <w:tc>
          <w:tcPr>
            <w:tcW w:w="7575" w:type="dxa"/>
          </w:tcPr>
          <w:p w14:paraId="413A7E99" w14:textId="77777777" w:rsidR="003E3F29" w:rsidRPr="00A2709F" w:rsidRDefault="003E3F29" w:rsidP="001E52A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95270" w:rsidRPr="00A2709F">
              <w:rPr>
                <w:sz w:val="24"/>
              </w:rPr>
              <w:t xml:space="preserve">В случае возникновения споров, применяется следующий порядок их </w:t>
            </w:r>
          </w:p>
          <w:p w14:paraId="5BD7F180" w14:textId="036E2A1B" w:rsidR="009C1AA5" w:rsidRDefault="003E3F29" w:rsidP="001E52AC">
            <w:pPr>
              <w:pStyle w:val="TableParagraph"/>
              <w:ind w:left="0"/>
              <w:jc w:val="both"/>
              <w:rPr>
                <w:sz w:val="24"/>
              </w:rPr>
            </w:pPr>
            <w:r w:rsidRPr="00A2709F">
              <w:rPr>
                <w:sz w:val="24"/>
              </w:rPr>
              <w:t xml:space="preserve"> </w:t>
            </w:r>
            <w:r w:rsidR="00295270" w:rsidRPr="00A2709F">
              <w:rPr>
                <w:sz w:val="24"/>
              </w:rPr>
              <w:t>разрешения:</w:t>
            </w:r>
            <w:r w:rsidR="00E20590" w:rsidRPr="00A2709F">
              <w:rPr>
                <w:sz w:val="24"/>
              </w:rPr>
              <w:t xml:space="preserve"> </w:t>
            </w:r>
            <w:r w:rsidR="009C1AA5" w:rsidRPr="00A2709F">
              <w:rPr>
                <w:sz w:val="24"/>
              </w:rPr>
              <w:t xml:space="preserve">Глава 42. </w:t>
            </w:r>
            <w:r w:rsidR="009C1AA5" w:rsidRPr="007B5A64">
              <w:rPr>
                <w:sz w:val="24"/>
              </w:rPr>
              <w:t>Предъявление претензий и разрешение споров</w:t>
            </w:r>
          </w:p>
          <w:p w14:paraId="06589AAA" w14:textId="77777777" w:rsidR="009C1AA5" w:rsidRDefault="009C1AA5" w:rsidP="001E52A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Регламента </w:t>
            </w:r>
            <w:r w:rsidRPr="00A2709F">
              <w:rPr>
                <w:sz w:val="24"/>
              </w:rPr>
              <w:t>оказания услуг на финансовых рынках</w:t>
            </w:r>
            <w:r>
              <w:rPr>
                <w:sz w:val="24"/>
              </w:rPr>
              <w:t xml:space="preserve"> </w:t>
            </w:r>
            <w:r w:rsidRPr="00A2709F">
              <w:rPr>
                <w:sz w:val="24"/>
              </w:rPr>
              <w:t>ООО</w:t>
            </w:r>
            <w:r>
              <w:rPr>
                <w:sz w:val="24"/>
              </w:rPr>
              <w:t xml:space="preserve"> </w:t>
            </w:r>
            <w:r w:rsidRPr="00A2709F">
              <w:rPr>
                <w:sz w:val="24"/>
              </w:rPr>
              <w:t xml:space="preserve">«Первый </w:t>
            </w:r>
          </w:p>
          <w:p w14:paraId="04CBFFA5" w14:textId="77777777" w:rsidR="004E0B29" w:rsidRDefault="009C1AA5" w:rsidP="009A2AB6">
            <w:pPr>
              <w:pStyle w:val="TableParagraph"/>
              <w:ind w:left="0" w:right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2709F">
              <w:rPr>
                <w:sz w:val="24"/>
              </w:rPr>
              <w:t>Клиентский Банк»</w:t>
            </w:r>
            <w:r>
              <w:rPr>
                <w:sz w:val="24"/>
              </w:rPr>
              <w:t xml:space="preserve"> </w:t>
            </w:r>
            <w:r w:rsidRPr="00A2709F">
              <w:rPr>
                <w:sz w:val="24"/>
              </w:rPr>
              <w:t xml:space="preserve">можно ознакомиться на сайте Банка в разделе </w:t>
            </w:r>
            <w:r w:rsidR="009A2AB6">
              <w:rPr>
                <w:sz w:val="24"/>
              </w:rPr>
              <w:t xml:space="preserve">  </w:t>
            </w:r>
          </w:p>
          <w:p w14:paraId="07BB8D6C" w14:textId="7FC4BE33" w:rsidR="002A1E63" w:rsidRDefault="004E0B29" w:rsidP="009A2AB6">
            <w:pPr>
              <w:pStyle w:val="TableParagraph"/>
              <w:ind w:left="0" w:right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22" w:history="1">
              <w:r w:rsidR="00E73891">
                <w:rPr>
                  <w:rStyle w:val="ad"/>
                </w:rPr>
                <w:t>Брокерское обслуживание (1cb.ru)</w:t>
              </w:r>
            </w:hyperlink>
            <w:r w:rsidR="00FC3A67">
              <w:rPr>
                <w:rStyle w:val="ad"/>
              </w:rPr>
              <w:t xml:space="preserve">. </w:t>
            </w:r>
          </w:p>
        </w:tc>
      </w:tr>
      <w:tr w:rsidR="002A1E63" w:rsidRPr="003A3808" w14:paraId="0860D56E" w14:textId="77777777" w:rsidTr="004A2ABA">
        <w:trPr>
          <w:trHeight w:val="1261"/>
        </w:trPr>
        <w:tc>
          <w:tcPr>
            <w:tcW w:w="456" w:type="dxa"/>
          </w:tcPr>
          <w:p w14:paraId="7C6188B3" w14:textId="6AEB1FA6" w:rsidR="002A1E63" w:rsidRDefault="00295270">
            <w:pPr>
              <w:pStyle w:val="TableParagraph"/>
              <w:spacing w:line="204" w:lineRule="exact"/>
              <w:ind w:left="120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</w:t>
            </w:r>
            <w:r w:rsidR="005A35FB">
              <w:rPr>
                <w:spacing w:val="-5"/>
                <w:sz w:val="18"/>
              </w:rPr>
              <w:t>6</w:t>
            </w:r>
          </w:p>
        </w:tc>
        <w:tc>
          <w:tcPr>
            <w:tcW w:w="2033" w:type="dxa"/>
          </w:tcPr>
          <w:p w14:paraId="44C6353C" w14:textId="77777777" w:rsidR="002A1E63" w:rsidRDefault="00295270">
            <w:pPr>
              <w:pStyle w:val="TableParagraph"/>
              <w:ind w:left="105" w:right="220"/>
              <w:rPr>
                <w:sz w:val="20"/>
              </w:rPr>
            </w:pPr>
            <w:r>
              <w:rPr>
                <w:sz w:val="20"/>
              </w:rPr>
              <w:t>Срок действия, порядок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сроки </w:t>
            </w:r>
            <w:r>
              <w:rPr>
                <w:spacing w:val="-2"/>
                <w:sz w:val="20"/>
              </w:rPr>
              <w:t xml:space="preserve">расторжения </w:t>
            </w:r>
            <w:r>
              <w:rPr>
                <w:sz w:val="20"/>
              </w:rPr>
              <w:t xml:space="preserve">договора о </w:t>
            </w:r>
            <w:r>
              <w:rPr>
                <w:spacing w:val="-2"/>
                <w:sz w:val="20"/>
              </w:rPr>
              <w:t>брокерском обслуживании</w:t>
            </w:r>
          </w:p>
        </w:tc>
        <w:tc>
          <w:tcPr>
            <w:tcW w:w="7575" w:type="dxa"/>
          </w:tcPr>
          <w:p w14:paraId="3162AA78" w14:textId="77777777" w:rsidR="007710E3" w:rsidRDefault="007710E3" w:rsidP="00AA0B9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Срок</w:t>
            </w:r>
            <w:r w:rsidR="00295270" w:rsidRPr="00E761E4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действия</w:t>
            </w:r>
            <w:r w:rsidR="00295270" w:rsidRPr="00E761E4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Договора</w:t>
            </w:r>
            <w:r w:rsidR="00295270" w:rsidRPr="00E761E4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на</w:t>
            </w:r>
            <w:r w:rsidR="00295270" w:rsidRPr="00E761E4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брокерское</w:t>
            </w:r>
            <w:r w:rsidR="00295270" w:rsidRPr="00E761E4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обслуживание</w:t>
            </w:r>
            <w:r w:rsidR="00295270" w:rsidRPr="00E761E4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не</w:t>
            </w:r>
            <w:r w:rsidR="00295270" w:rsidRPr="00E761E4"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 xml:space="preserve">ограничен. </w:t>
            </w:r>
            <w:r>
              <w:rPr>
                <w:sz w:val="24"/>
              </w:rPr>
              <w:t xml:space="preserve"> </w:t>
            </w:r>
          </w:p>
          <w:p w14:paraId="47133810" w14:textId="1F40E0CD" w:rsidR="00004946" w:rsidRDefault="007710E3" w:rsidP="00AA0B9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95270">
              <w:rPr>
                <w:sz w:val="24"/>
              </w:rPr>
              <w:t>Порядок и сроки расторжения</w:t>
            </w:r>
            <w:r>
              <w:rPr>
                <w:sz w:val="24"/>
              </w:rPr>
              <w:t xml:space="preserve">: </w:t>
            </w:r>
            <w:r w:rsidRPr="00A2709F">
              <w:rPr>
                <w:sz w:val="24"/>
              </w:rPr>
              <w:t>Глава 4</w:t>
            </w:r>
            <w:r w:rsidR="009C1AA5">
              <w:rPr>
                <w:sz w:val="24"/>
              </w:rPr>
              <w:t>4</w:t>
            </w:r>
            <w:r w:rsidRPr="00A2709F">
              <w:rPr>
                <w:sz w:val="24"/>
              </w:rPr>
              <w:t xml:space="preserve">. </w:t>
            </w:r>
            <w:r w:rsidRPr="00E761E4">
              <w:rPr>
                <w:sz w:val="24"/>
              </w:rPr>
              <w:t>Расторжение Договора</w:t>
            </w:r>
            <w:r w:rsidDel="007710E3">
              <w:rPr>
                <w:sz w:val="24"/>
              </w:rPr>
              <w:t xml:space="preserve"> </w:t>
            </w:r>
          </w:p>
          <w:p w14:paraId="0C04679A" w14:textId="77777777" w:rsidR="00004946" w:rsidRDefault="00004946" w:rsidP="00AA0B9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Регламента </w:t>
            </w:r>
            <w:r w:rsidR="007710E3" w:rsidRPr="00A2709F">
              <w:rPr>
                <w:sz w:val="24"/>
              </w:rPr>
              <w:t>оказания услуг на финансовых рынках</w:t>
            </w:r>
            <w:r>
              <w:rPr>
                <w:sz w:val="24"/>
              </w:rPr>
              <w:t xml:space="preserve"> </w:t>
            </w:r>
            <w:r w:rsidR="007710E3" w:rsidRPr="00A2709F">
              <w:rPr>
                <w:sz w:val="24"/>
              </w:rPr>
              <w:t>ООО</w:t>
            </w:r>
            <w:r w:rsidR="007710E3">
              <w:rPr>
                <w:sz w:val="24"/>
              </w:rPr>
              <w:t xml:space="preserve"> </w:t>
            </w:r>
            <w:r w:rsidR="007710E3" w:rsidRPr="00A2709F">
              <w:rPr>
                <w:sz w:val="24"/>
              </w:rPr>
              <w:t xml:space="preserve">«Первый </w:t>
            </w:r>
          </w:p>
          <w:p w14:paraId="0F1F7200" w14:textId="77777777" w:rsidR="00F73047" w:rsidRDefault="00004946" w:rsidP="00AA0B9C">
            <w:pPr>
              <w:pStyle w:val="TableParagraph"/>
              <w:ind w:left="0" w:right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710E3" w:rsidRPr="00A2709F">
              <w:rPr>
                <w:sz w:val="24"/>
              </w:rPr>
              <w:t>Клиентский Банк»</w:t>
            </w:r>
            <w:r>
              <w:rPr>
                <w:sz w:val="24"/>
              </w:rPr>
              <w:t xml:space="preserve"> </w:t>
            </w:r>
            <w:r w:rsidR="007710E3" w:rsidRPr="00A2709F">
              <w:rPr>
                <w:sz w:val="24"/>
              </w:rPr>
              <w:t xml:space="preserve">можно ознакомиться на сайте Банка в разделе </w:t>
            </w:r>
            <w:r w:rsidR="00DE23A1">
              <w:rPr>
                <w:sz w:val="24"/>
              </w:rPr>
              <w:t xml:space="preserve"> </w:t>
            </w:r>
          </w:p>
          <w:p w14:paraId="113A65D2" w14:textId="04139530" w:rsidR="002A1E63" w:rsidRPr="00951F6B" w:rsidRDefault="00F73047" w:rsidP="00AA0B9C">
            <w:pPr>
              <w:pStyle w:val="TableParagraph"/>
              <w:ind w:left="0" w:right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23" w:history="1">
              <w:r w:rsidR="007710E3">
                <w:rPr>
                  <w:rStyle w:val="ad"/>
                </w:rPr>
                <w:t>Брокерское обслуживание (1cb.ru)</w:t>
              </w:r>
            </w:hyperlink>
            <w:r w:rsidR="00FC3A67">
              <w:rPr>
                <w:rStyle w:val="ad"/>
              </w:rPr>
              <w:t xml:space="preserve">. </w:t>
            </w:r>
          </w:p>
        </w:tc>
      </w:tr>
    </w:tbl>
    <w:p w14:paraId="05E8808E" w14:textId="77777777" w:rsidR="00295270" w:rsidRPr="00B23163" w:rsidRDefault="00295270"/>
    <w:sectPr w:rsidR="00295270" w:rsidRPr="00B23163">
      <w:headerReference w:type="default" r:id="rId24"/>
      <w:type w:val="continuous"/>
      <w:pgSz w:w="11910" w:h="16840"/>
      <w:pgMar w:top="1220" w:right="740" w:bottom="280" w:left="8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6A7A3" w14:textId="77777777" w:rsidR="00D157F9" w:rsidRDefault="00D157F9">
      <w:r>
        <w:separator/>
      </w:r>
    </w:p>
  </w:endnote>
  <w:endnote w:type="continuationSeparator" w:id="0">
    <w:p w14:paraId="6C268F61" w14:textId="77777777" w:rsidR="00D157F9" w:rsidRDefault="00D1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440038"/>
      <w:docPartObj>
        <w:docPartGallery w:val="Page Numbers (Bottom of Page)"/>
        <w:docPartUnique/>
      </w:docPartObj>
    </w:sdtPr>
    <w:sdtEndPr/>
    <w:sdtContent>
      <w:p w14:paraId="7F462C51" w14:textId="6783CB3F" w:rsidR="007629F1" w:rsidRDefault="007629F1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C99">
          <w:rPr>
            <w:noProof/>
          </w:rPr>
          <w:t>2</w:t>
        </w:r>
        <w:r>
          <w:fldChar w:fldCharType="end"/>
        </w:r>
      </w:p>
    </w:sdtContent>
  </w:sdt>
  <w:p w14:paraId="1E27301F" w14:textId="77777777" w:rsidR="007629F1" w:rsidRDefault="007629F1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7081A" w14:textId="77777777" w:rsidR="00D157F9" w:rsidRDefault="00D157F9">
      <w:r>
        <w:separator/>
      </w:r>
    </w:p>
  </w:footnote>
  <w:footnote w:type="continuationSeparator" w:id="0">
    <w:p w14:paraId="1911C33C" w14:textId="77777777" w:rsidR="00D157F9" w:rsidRDefault="00D15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68753" w14:textId="77777777" w:rsidR="002A1E63" w:rsidRDefault="00703797">
    <w:pPr>
      <w:pStyle w:val="a0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3D8059" wp14:editId="3071D410">
              <wp:simplePos x="0" y="0"/>
              <wp:positionH relativeFrom="page">
                <wp:posOffset>3977640</wp:posOffset>
              </wp:positionH>
              <wp:positionV relativeFrom="page">
                <wp:posOffset>464185</wp:posOffset>
              </wp:positionV>
              <wp:extent cx="160020" cy="1657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13BDD" w14:textId="4051F386" w:rsidR="002A1E63" w:rsidRDefault="002A1E6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63D805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13.2pt;margin-top:36.55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" filled="f" stroked="f">
              <v:textbox inset="0,0,0,0">
                <w:txbxContent>
                  <w:p w14:paraId="19E13BDD" w14:textId="4051F386" w:rsidR="002A1E63" w:rsidRDefault="002A1E6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DCB"/>
    <w:multiLevelType w:val="hybridMultilevel"/>
    <w:tmpl w:val="8FEE3C8C"/>
    <w:lvl w:ilvl="0" w:tplc="54A80AC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0CB2CC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2" w:tplc="ED0A2E70">
      <w:numFmt w:val="bullet"/>
      <w:lvlText w:val="•"/>
      <w:lvlJc w:val="left"/>
      <w:pPr>
        <w:ind w:left="1593" w:hanging="140"/>
      </w:pPr>
      <w:rPr>
        <w:rFonts w:hint="default"/>
        <w:lang w:val="ru-RU" w:eastAsia="en-US" w:bidi="ar-SA"/>
      </w:rPr>
    </w:lvl>
    <w:lvl w:ilvl="3" w:tplc="0A106E02">
      <w:numFmt w:val="bullet"/>
      <w:lvlText w:val="•"/>
      <w:lvlJc w:val="left"/>
      <w:pPr>
        <w:ind w:left="2339" w:hanging="140"/>
      </w:pPr>
      <w:rPr>
        <w:rFonts w:hint="default"/>
        <w:lang w:val="ru-RU" w:eastAsia="en-US" w:bidi="ar-SA"/>
      </w:rPr>
    </w:lvl>
    <w:lvl w:ilvl="4" w:tplc="B596C958">
      <w:numFmt w:val="bullet"/>
      <w:lvlText w:val="•"/>
      <w:lvlJc w:val="left"/>
      <w:pPr>
        <w:ind w:left="3086" w:hanging="140"/>
      </w:pPr>
      <w:rPr>
        <w:rFonts w:hint="default"/>
        <w:lang w:val="ru-RU" w:eastAsia="en-US" w:bidi="ar-SA"/>
      </w:rPr>
    </w:lvl>
    <w:lvl w:ilvl="5" w:tplc="AA3ADDEC">
      <w:numFmt w:val="bullet"/>
      <w:lvlText w:val="•"/>
      <w:lvlJc w:val="left"/>
      <w:pPr>
        <w:ind w:left="3832" w:hanging="140"/>
      </w:pPr>
      <w:rPr>
        <w:rFonts w:hint="default"/>
        <w:lang w:val="ru-RU" w:eastAsia="en-US" w:bidi="ar-SA"/>
      </w:rPr>
    </w:lvl>
    <w:lvl w:ilvl="6" w:tplc="4E602988">
      <w:numFmt w:val="bullet"/>
      <w:lvlText w:val="•"/>
      <w:lvlJc w:val="left"/>
      <w:pPr>
        <w:ind w:left="4579" w:hanging="140"/>
      </w:pPr>
      <w:rPr>
        <w:rFonts w:hint="default"/>
        <w:lang w:val="ru-RU" w:eastAsia="en-US" w:bidi="ar-SA"/>
      </w:rPr>
    </w:lvl>
    <w:lvl w:ilvl="7" w:tplc="D52EF16C">
      <w:numFmt w:val="bullet"/>
      <w:lvlText w:val="•"/>
      <w:lvlJc w:val="left"/>
      <w:pPr>
        <w:ind w:left="5325" w:hanging="140"/>
      </w:pPr>
      <w:rPr>
        <w:rFonts w:hint="default"/>
        <w:lang w:val="ru-RU" w:eastAsia="en-US" w:bidi="ar-SA"/>
      </w:rPr>
    </w:lvl>
    <w:lvl w:ilvl="8" w:tplc="7C0EC526">
      <w:numFmt w:val="bullet"/>
      <w:lvlText w:val="•"/>
      <w:lvlJc w:val="left"/>
      <w:pPr>
        <w:ind w:left="6072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64CB1DDB"/>
    <w:multiLevelType w:val="multilevel"/>
    <w:tmpl w:val="00E6B74E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63"/>
    <w:rsid w:val="00004946"/>
    <w:rsid w:val="00004DC2"/>
    <w:rsid w:val="00005EBD"/>
    <w:rsid w:val="000215DB"/>
    <w:rsid w:val="00022F21"/>
    <w:rsid w:val="00023A17"/>
    <w:rsid w:val="00025A1C"/>
    <w:rsid w:val="00026E2C"/>
    <w:rsid w:val="00030837"/>
    <w:rsid w:val="0003214C"/>
    <w:rsid w:val="00037F33"/>
    <w:rsid w:val="00041E9B"/>
    <w:rsid w:val="0004291D"/>
    <w:rsid w:val="000435C3"/>
    <w:rsid w:val="00050A53"/>
    <w:rsid w:val="00061D19"/>
    <w:rsid w:val="00063DB0"/>
    <w:rsid w:val="00065E2C"/>
    <w:rsid w:val="000752ED"/>
    <w:rsid w:val="000811FC"/>
    <w:rsid w:val="000856FD"/>
    <w:rsid w:val="00085AB8"/>
    <w:rsid w:val="00087437"/>
    <w:rsid w:val="000A15D2"/>
    <w:rsid w:val="000A313C"/>
    <w:rsid w:val="000A3C52"/>
    <w:rsid w:val="000A4CE1"/>
    <w:rsid w:val="000A7013"/>
    <w:rsid w:val="000B0138"/>
    <w:rsid w:val="000B4CC0"/>
    <w:rsid w:val="000B5C4E"/>
    <w:rsid w:val="000B6B0B"/>
    <w:rsid w:val="000C79AE"/>
    <w:rsid w:val="000D2D71"/>
    <w:rsid w:val="000D3D9F"/>
    <w:rsid w:val="000F103A"/>
    <w:rsid w:val="000F12F1"/>
    <w:rsid w:val="000F342E"/>
    <w:rsid w:val="000F5FC2"/>
    <w:rsid w:val="00102306"/>
    <w:rsid w:val="00112D84"/>
    <w:rsid w:val="0011503F"/>
    <w:rsid w:val="001160FA"/>
    <w:rsid w:val="001165D8"/>
    <w:rsid w:val="00124F8E"/>
    <w:rsid w:val="00127A68"/>
    <w:rsid w:val="00143622"/>
    <w:rsid w:val="001560EF"/>
    <w:rsid w:val="00157B55"/>
    <w:rsid w:val="00162F1A"/>
    <w:rsid w:val="00166408"/>
    <w:rsid w:val="001704BF"/>
    <w:rsid w:val="00174888"/>
    <w:rsid w:val="00177F5B"/>
    <w:rsid w:val="00180847"/>
    <w:rsid w:val="001816EE"/>
    <w:rsid w:val="0018231E"/>
    <w:rsid w:val="001902CD"/>
    <w:rsid w:val="00191E1F"/>
    <w:rsid w:val="00191EF5"/>
    <w:rsid w:val="00195D5F"/>
    <w:rsid w:val="001972D7"/>
    <w:rsid w:val="001B2371"/>
    <w:rsid w:val="001C4A24"/>
    <w:rsid w:val="001C7583"/>
    <w:rsid w:val="001D55EB"/>
    <w:rsid w:val="001D5C35"/>
    <w:rsid w:val="001D6440"/>
    <w:rsid w:val="001D7D32"/>
    <w:rsid w:val="001E1ADE"/>
    <w:rsid w:val="001E1C16"/>
    <w:rsid w:val="001E3EE7"/>
    <w:rsid w:val="001E46F8"/>
    <w:rsid w:val="001E52AC"/>
    <w:rsid w:val="001E6903"/>
    <w:rsid w:val="001F7B16"/>
    <w:rsid w:val="00200D71"/>
    <w:rsid w:val="0020302D"/>
    <w:rsid w:val="00206FFF"/>
    <w:rsid w:val="00211B6A"/>
    <w:rsid w:val="002121F7"/>
    <w:rsid w:val="002160F6"/>
    <w:rsid w:val="0022190B"/>
    <w:rsid w:val="002222B4"/>
    <w:rsid w:val="002239CE"/>
    <w:rsid w:val="00223BAC"/>
    <w:rsid w:val="00233EEA"/>
    <w:rsid w:val="00234135"/>
    <w:rsid w:val="00243FFF"/>
    <w:rsid w:val="002554E9"/>
    <w:rsid w:val="00262EDE"/>
    <w:rsid w:val="00264687"/>
    <w:rsid w:val="0026584D"/>
    <w:rsid w:val="0027189A"/>
    <w:rsid w:val="00271B8D"/>
    <w:rsid w:val="00295270"/>
    <w:rsid w:val="002A1095"/>
    <w:rsid w:val="002A1E63"/>
    <w:rsid w:val="002B0F75"/>
    <w:rsid w:val="002B2C99"/>
    <w:rsid w:val="002B4685"/>
    <w:rsid w:val="002C59F7"/>
    <w:rsid w:val="002D06EA"/>
    <w:rsid w:val="002E0259"/>
    <w:rsid w:val="002E1FD6"/>
    <w:rsid w:val="002E4142"/>
    <w:rsid w:val="002E6023"/>
    <w:rsid w:val="002E6185"/>
    <w:rsid w:val="002E789C"/>
    <w:rsid w:val="002F1658"/>
    <w:rsid w:val="002F1B15"/>
    <w:rsid w:val="002F1C9E"/>
    <w:rsid w:val="002F5BC2"/>
    <w:rsid w:val="002F62D9"/>
    <w:rsid w:val="00300216"/>
    <w:rsid w:val="00304908"/>
    <w:rsid w:val="003074BC"/>
    <w:rsid w:val="003118B9"/>
    <w:rsid w:val="00317EDB"/>
    <w:rsid w:val="0032156F"/>
    <w:rsid w:val="003222D5"/>
    <w:rsid w:val="003259EE"/>
    <w:rsid w:val="00325F3E"/>
    <w:rsid w:val="003260DB"/>
    <w:rsid w:val="00326EF9"/>
    <w:rsid w:val="003276B8"/>
    <w:rsid w:val="0033088F"/>
    <w:rsid w:val="003337B8"/>
    <w:rsid w:val="00336388"/>
    <w:rsid w:val="00337DBF"/>
    <w:rsid w:val="003409D3"/>
    <w:rsid w:val="003440CC"/>
    <w:rsid w:val="003462F3"/>
    <w:rsid w:val="00351A58"/>
    <w:rsid w:val="00355947"/>
    <w:rsid w:val="0035727C"/>
    <w:rsid w:val="00360D68"/>
    <w:rsid w:val="00372A6F"/>
    <w:rsid w:val="00373A62"/>
    <w:rsid w:val="003838EA"/>
    <w:rsid w:val="00384C99"/>
    <w:rsid w:val="003863FA"/>
    <w:rsid w:val="00396E7C"/>
    <w:rsid w:val="003973F0"/>
    <w:rsid w:val="003A08F0"/>
    <w:rsid w:val="003A1DCD"/>
    <w:rsid w:val="003A3808"/>
    <w:rsid w:val="003A3E9D"/>
    <w:rsid w:val="003A4758"/>
    <w:rsid w:val="003B0AC9"/>
    <w:rsid w:val="003B431F"/>
    <w:rsid w:val="003B5C6F"/>
    <w:rsid w:val="003B7BFE"/>
    <w:rsid w:val="003C0171"/>
    <w:rsid w:val="003C1537"/>
    <w:rsid w:val="003D03E1"/>
    <w:rsid w:val="003D50EE"/>
    <w:rsid w:val="003D5840"/>
    <w:rsid w:val="003D5A8F"/>
    <w:rsid w:val="003D5DEB"/>
    <w:rsid w:val="003E3F29"/>
    <w:rsid w:val="003F0145"/>
    <w:rsid w:val="003F17DE"/>
    <w:rsid w:val="003F2D3B"/>
    <w:rsid w:val="00400288"/>
    <w:rsid w:val="00400C7E"/>
    <w:rsid w:val="00405C2F"/>
    <w:rsid w:val="00410F5E"/>
    <w:rsid w:val="004149BB"/>
    <w:rsid w:val="004173F6"/>
    <w:rsid w:val="00422A2E"/>
    <w:rsid w:val="00424732"/>
    <w:rsid w:val="00434C31"/>
    <w:rsid w:val="0043621C"/>
    <w:rsid w:val="00440686"/>
    <w:rsid w:val="0044385A"/>
    <w:rsid w:val="004503E9"/>
    <w:rsid w:val="00450470"/>
    <w:rsid w:val="00450716"/>
    <w:rsid w:val="00450B4E"/>
    <w:rsid w:val="00460C5F"/>
    <w:rsid w:val="00461F27"/>
    <w:rsid w:val="00475B25"/>
    <w:rsid w:val="00476AA9"/>
    <w:rsid w:val="004910CC"/>
    <w:rsid w:val="004921DC"/>
    <w:rsid w:val="004A1455"/>
    <w:rsid w:val="004A2ABA"/>
    <w:rsid w:val="004B1BD8"/>
    <w:rsid w:val="004C0F67"/>
    <w:rsid w:val="004C1294"/>
    <w:rsid w:val="004D6778"/>
    <w:rsid w:val="004E0B29"/>
    <w:rsid w:val="004E2B42"/>
    <w:rsid w:val="004E36C7"/>
    <w:rsid w:val="00503C17"/>
    <w:rsid w:val="0050478D"/>
    <w:rsid w:val="0050628F"/>
    <w:rsid w:val="00511BA3"/>
    <w:rsid w:val="005133E5"/>
    <w:rsid w:val="00514DB7"/>
    <w:rsid w:val="005153AA"/>
    <w:rsid w:val="005162FA"/>
    <w:rsid w:val="00516C5F"/>
    <w:rsid w:val="00524076"/>
    <w:rsid w:val="0052733C"/>
    <w:rsid w:val="00531C3B"/>
    <w:rsid w:val="00533254"/>
    <w:rsid w:val="005367FE"/>
    <w:rsid w:val="0054179F"/>
    <w:rsid w:val="00546944"/>
    <w:rsid w:val="005501B6"/>
    <w:rsid w:val="00560C6F"/>
    <w:rsid w:val="00563A19"/>
    <w:rsid w:val="00563B62"/>
    <w:rsid w:val="00564F5A"/>
    <w:rsid w:val="005808AE"/>
    <w:rsid w:val="0059267A"/>
    <w:rsid w:val="00593F1E"/>
    <w:rsid w:val="00595BDF"/>
    <w:rsid w:val="00597F27"/>
    <w:rsid w:val="005A35FB"/>
    <w:rsid w:val="005A4652"/>
    <w:rsid w:val="005C0BD8"/>
    <w:rsid w:val="005C4BD1"/>
    <w:rsid w:val="005C7E76"/>
    <w:rsid w:val="005D1004"/>
    <w:rsid w:val="005D1A91"/>
    <w:rsid w:val="005D42E9"/>
    <w:rsid w:val="005D5C4C"/>
    <w:rsid w:val="005F09F7"/>
    <w:rsid w:val="005F2F15"/>
    <w:rsid w:val="005F5FFD"/>
    <w:rsid w:val="006068C8"/>
    <w:rsid w:val="00611872"/>
    <w:rsid w:val="006144A6"/>
    <w:rsid w:val="00616296"/>
    <w:rsid w:val="00627DE2"/>
    <w:rsid w:val="006323FE"/>
    <w:rsid w:val="006404A1"/>
    <w:rsid w:val="00644301"/>
    <w:rsid w:val="00647C25"/>
    <w:rsid w:val="00654547"/>
    <w:rsid w:val="00662FC8"/>
    <w:rsid w:val="006766D7"/>
    <w:rsid w:val="00680005"/>
    <w:rsid w:val="00681968"/>
    <w:rsid w:val="00690517"/>
    <w:rsid w:val="00693891"/>
    <w:rsid w:val="006947AE"/>
    <w:rsid w:val="006A3566"/>
    <w:rsid w:val="006C061A"/>
    <w:rsid w:val="006C4012"/>
    <w:rsid w:val="006D0034"/>
    <w:rsid w:val="006D17F8"/>
    <w:rsid w:val="006D423E"/>
    <w:rsid w:val="006D69CE"/>
    <w:rsid w:val="006D7644"/>
    <w:rsid w:val="006D76D5"/>
    <w:rsid w:val="006E4CD1"/>
    <w:rsid w:val="006E6498"/>
    <w:rsid w:val="006F4CCB"/>
    <w:rsid w:val="006F5232"/>
    <w:rsid w:val="00702815"/>
    <w:rsid w:val="00703797"/>
    <w:rsid w:val="00704242"/>
    <w:rsid w:val="007079D4"/>
    <w:rsid w:val="00710E50"/>
    <w:rsid w:val="0071280A"/>
    <w:rsid w:val="007138C4"/>
    <w:rsid w:val="007164B8"/>
    <w:rsid w:val="0073121D"/>
    <w:rsid w:val="00736849"/>
    <w:rsid w:val="0074395B"/>
    <w:rsid w:val="00746632"/>
    <w:rsid w:val="00746D8E"/>
    <w:rsid w:val="00752719"/>
    <w:rsid w:val="00756C05"/>
    <w:rsid w:val="0075792C"/>
    <w:rsid w:val="007629F1"/>
    <w:rsid w:val="00767BAD"/>
    <w:rsid w:val="007710E3"/>
    <w:rsid w:val="00773ECD"/>
    <w:rsid w:val="007777E1"/>
    <w:rsid w:val="00782D5C"/>
    <w:rsid w:val="00786A64"/>
    <w:rsid w:val="007906B9"/>
    <w:rsid w:val="00790D66"/>
    <w:rsid w:val="007A2245"/>
    <w:rsid w:val="007B1D8F"/>
    <w:rsid w:val="007B5A64"/>
    <w:rsid w:val="007B6BB5"/>
    <w:rsid w:val="007C0CBC"/>
    <w:rsid w:val="007C17AB"/>
    <w:rsid w:val="007C43B6"/>
    <w:rsid w:val="007D3582"/>
    <w:rsid w:val="007D361C"/>
    <w:rsid w:val="007D5D25"/>
    <w:rsid w:val="00801F24"/>
    <w:rsid w:val="008040FD"/>
    <w:rsid w:val="00810639"/>
    <w:rsid w:val="00824B30"/>
    <w:rsid w:val="00836B56"/>
    <w:rsid w:val="008537D4"/>
    <w:rsid w:val="00855FB6"/>
    <w:rsid w:val="00870B29"/>
    <w:rsid w:val="00872F8E"/>
    <w:rsid w:val="00873056"/>
    <w:rsid w:val="00874221"/>
    <w:rsid w:val="00874553"/>
    <w:rsid w:val="00880F85"/>
    <w:rsid w:val="008816BA"/>
    <w:rsid w:val="00886655"/>
    <w:rsid w:val="00890D4B"/>
    <w:rsid w:val="0089712E"/>
    <w:rsid w:val="00897E87"/>
    <w:rsid w:val="008A155D"/>
    <w:rsid w:val="008A22BE"/>
    <w:rsid w:val="008A36C2"/>
    <w:rsid w:val="008B2916"/>
    <w:rsid w:val="008B49A3"/>
    <w:rsid w:val="008B5933"/>
    <w:rsid w:val="008B6D73"/>
    <w:rsid w:val="008B6E18"/>
    <w:rsid w:val="008B7517"/>
    <w:rsid w:val="008C72FD"/>
    <w:rsid w:val="008C7C9C"/>
    <w:rsid w:val="008D0BF9"/>
    <w:rsid w:val="008D26BB"/>
    <w:rsid w:val="008D657D"/>
    <w:rsid w:val="008D6587"/>
    <w:rsid w:val="008E3A9D"/>
    <w:rsid w:val="008E44B8"/>
    <w:rsid w:val="008E67CA"/>
    <w:rsid w:val="008E7A34"/>
    <w:rsid w:val="008F5E3F"/>
    <w:rsid w:val="00900ECB"/>
    <w:rsid w:val="009010FA"/>
    <w:rsid w:val="00910B0E"/>
    <w:rsid w:val="00910DDB"/>
    <w:rsid w:val="009113A5"/>
    <w:rsid w:val="00912E0E"/>
    <w:rsid w:val="009146E3"/>
    <w:rsid w:val="00915C42"/>
    <w:rsid w:val="00917E78"/>
    <w:rsid w:val="00924E96"/>
    <w:rsid w:val="00925414"/>
    <w:rsid w:val="00930203"/>
    <w:rsid w:val="0093033D"/>
    <w:rsid w:val="00932500"/>
    <w:rsid w:val="00933A52"/>
    <w:rsid w:val="00935557"/>
    <w:rsid w:val="00936DE2"/>
    <w:rsid w:val="00937A08"/>
    <w:rsid w:val="0094330C"/>
    <w:rsid w:val="00951F6B"/>
    <w:rsid w:val="00954669"/>
    <w:rsid w:val="00956540"/>
    <w:rsid w:val="00971B36"/>
    <w:rsid w:val="00971CDD"/>
    <w:rsid w:val="009728E7"/>
    <w:rsid w:val="009747E3"/>
    <w:rsid w:val="00992C85"/>
    <w:rsid w:val="00994DF2"/>
    <w:rsid w:val="0099506D"/>
    <w:rsid w:val="009956C0"/>
    <w:rsid w:val="009A1413"/>
    <w:rsid w:val="009A2AB6"/>
    <w:rsid w:val="009A57C5"/>
    <w:rsid w:val="009B29FD"/>
    <w:rsid w:val="009B48F1"/>
    <w:rsid w:val="009B6269"/>
    <w:rsid w:val="009C06CF"/>
    <w:rsid w:val="009C10C1"/>
    <w:rsid w:val="009C1AA5"/>
    <w:rsid w:val="009C261B"/>
    <w:rsid w:val="009C64D2"/>
    <w:rsid w:val="009D22AC"/>
    <w:rsid w:val="009D5A8F"/>
    <w:rsid w:val="009E726C"/>
    <w:rsid w:val="009F5568"/>
    <w:rsid w:val="00A0258F"/>
    <w:rsid w:val="00A03A0B"/>
    <w:rsid w:val="00A054F5"/>
    <w:rsid w:val="00A06A47"/>
    <w:rsid w:val="00A1016C"/>
    <w:rsid w:val="00A2533A"/>
    <w:rsid w:val="00A26623"/>
    <w:rsid w:val="00A2709F"/>
    <w:rsid w:val="00A3276D"/>
    <w:rsid w:val="00A32A3C"/>
    <w:rsid w:val="00A36042"/>
    <w:rsid w:val="00A4324B"/>
    <w:rsid w:val="00A458A7"/>
    <w:rsid w:val="00A471F8"/>
    <w:rsid w:val="00A540B1"/>
    <w:rsid w:val="00A54AB3"/>
    <w:rsid w:val="00A647B9"/>
    <w:rsid w:val="00A67E0F"/>
    <w:rsid w:val="00A73609"/>
    <w:rsid w:val="00A73E4C"/>
    <w:rsid w:val="00A74FE8"/>
    <w:rsid w:val="00A76731"/>
    <w:rsid w:val="00A810B0"/>
    <w:rsid w:val="00A8448D"/>
    <w:rsid w:val="00A94714"/>
    <w:rsid w:val="00A962CC"/>
    <w:rsid w:val="00A96ABB"/>
    <w:rsid w:val="00AA0B9C"/>
    <w:rsid w:val="00AA1A97"/>
    <w:rsid w:val="00AA3642"/>
    <w:rsid w:val="00AB343F"/>
    <w:rsid w:val="00AC3EBC"/>
    <w:rsid w:val="00AC6AC6"/>
    <w:rsid w:val="00AD4A0F"/>
    <w:rsid w:val="00AE08D1"/>
    <w:rsid w:val="00AE4ABF"/>
    <w:rsid w:val="00AE6D08"/>
    <w:rsid w:val="00AF2C21"/>
    <w:rsid w:val="00AF46A6"/>
    <w:rsid w:val="00B02301"/>
    <w:rsid w:val="00B06792"/>
    <w:rsid w:val="00B20B4F"/>
    <w:rsid w:val="00B20CDA"/>
    <w:rsid w:val="00B23163"/>
    <w:rsid w:val="00B343F5"/>
    <w:rsid w:val="00B50910"/>
    <w:rsid w:val="00B55FFB"/>
    <w:rsid w:val="00B6571A"/>
    <w:rsid w:val="00B66DC7"/>
    <w:rsid w:val="00B7073C"/>
    <w:rsid w:val="00B7291D"/>
    <w:rsid w:val="00B75563"/>
    <w:rsid w:val="00B85B53"/>
    <w:rsid w:val="00B86B9E"/>
    <w:rsid w:val="00B87366"/>
    <w:rsid w:val="00B87B0E"/>
    <w:rsid w:val="00B90C82"/>
    <w:rsid w:val="00B95129"/>
    <w:rsid w:val="00B96D9B"/>
    <w:rsid w:val="00BB3D5A"/>
    <w:rsid w:val="00BB402B"/>
    <w:rsid w:val="00BB606A"/>
    <w:rsid w:val="00BC4334"/>
    <w:rsid w:val="00BC6B57"/>
    <w:rsid w:val="00BC71C8"/>
    <w:rsid w:val="00BD4DAA"/>
    <w:rsid w:val="00BE06F9"/>
    <w:rsid w:val="00BE7493"/>
    <w:rsid w:val="00C01A59"/>
    <w:rsid w:val="00C01B9F"/>
    <w:rsid w:val="00C064CB"/>
    <w:rsid w:val="00C10CBD"/>
    <w:rsid w:val="00C1143E"/>
    <w:rsid w:val="00C22F2F"/>
    <w:rsid w:val="00C22F7A"/>
    <w:rsid w:val="00C3062F"/>
    <w:rsid w:val="00C415A5"/>
    <w:rsid w:val="00C42851"/>
    <w:rsid w:val="00C4486C"/>
    <w:rsid w:val="00C53692"/>
    <w:rsid w:val="00C54D95"/>
    <w:rsid w:val="00C62C85"/>
    <w:rsid w:val="00C63578"/>
    <w:rsid w:val="00C7013F"/>
    <w:rsid w:val="00C713E8"/>
    <w:rsid w:val="00C73A25"/>
    <w:rsid w:val="00C73EA0"/>
    <w:rsid w:val="00C75B9B"/>
    <w:rsid w:val="00C829DC"/>
    <w:rsid w:val="00C8306F"/>
    <w:rsid w:val="00C83FAD"/>
    <w:rsid w:val="00C856E5"/>
    <w:rsid w:val="00C91EFC"/>
    <w:rsid w:val="00C9667F"/>
    <w:rsid w:val="00CA324C"/>
    <w:rsid w:val="00CA3B1C"/>
    <w:rsid w:val="00CA5B25"/>
    <w:rsid w:val="00CB1FC1"/>
    <w:rsid w:val="00CB6C98"/>
    <w:rsid w:val="00CD5E2B"/>
    <w:rsid w:val="00CE58AD"/>
    <w:rsid w:val="00CE5AE6"/>
    <w:rsid w:val="00CE7EF9"/>
    <w:rsid w:val="00CF4F55"/>
    <w:rsid w:val="00CF59B4"/>
    <w:rsid w:val="00D04A98"/>
    <w:rsid w:val="00D0647F"/>
    <w:rsid w:val="00D12532"/>
    <w:rsid w:val="00D13903"/>
    <w:rsid w:val="00D13D33"/>
    <w:rsid w:val="00D13D59"/>
    <w:rsid w:val="00D157F9"/>
    <w:rsid w:val="00D15F29"/>
    <w:rsid w:val="00D24FCC"/>
    <w:rsid w:val="00D33544"/>
    <w:rsid w:val="00D412C3"/>
    <w:rsid w:val="00D42B6E"/>
    <w:rsid w:val="00D435B0"/>
    <w:rsid w:val="00D44E3D"/>
    <w:rsid w:val="00D47DC3"/>
    <w:rsid w:val="00D5186B"/>
    <w:rsid w:val="00D53099"/>
    <w:rsid w:val="00D5371C"/>
    <w:rsid w:val="00D56573"/>
    <w:rsid w:val="00D5770C"/>
    <w:rsid w:val="00D67C37"/>
    <w:rsid w:val="00D72D01"/>
    <w:rsid w:val="00D74785"/>
    <w:rsid w:val="00D7587A"/>
    <w:rsid w:val="00D7719C"/>
    <w:rsid w:val="00D90CF9"/>
    <w:rsid w:val="00D910FA"/>
    <w:rsid w:val="00D946C8"/>
    <w:rsid w:val="00D96A3D"/>
    <w:rsid w:val="00DA5CC7"/>
    <w:rsid w:val="00DB0D98"/>
    <w:rsid w:val="00DB61DC"/>
    <w:rsid w:val="00DC2387"/>
    <w:rsid w:val="00DC2739"/>
    <w:rsid w:val="00DC3520"/>
    <w:rsid w:val="00DD3FD3"/>
    <w:rsid w:val="00DE23A1"/>
    <w:rsid w:val="00DE3468"/>
    <w:rsid w:val="00DE502D"/>
    <w:rsid w:val="00DE52B2"/>
    <w:rsid w:val="00DE73E5"/>
    <w:rsid w:val="00DF1DC6"/>
    <w:rsid w:val="00DF2E20"/>
    <w:rsid w:val="00DF438F"/>
    <w:rsid w:val="00DF6277"/>
    <w:rsid w:val="00E13AA6"/>
    <w:rsid w:val="00E16786"/>
    <w:rsid w:val="00E200EB"/>
    <w:rsid w:val="00E20590"/>
    <w:rsid w:val="00E20BB3"/>
    <w:rsid w:val="00E347BD"/>
    <w:rsid w:val="00E36726"/>
    <w:rsid w:val="00E42432"/>
    <w:rsid w:val="00E46025"/>
    <w:rsid w:val="00E534DF"/>
    <w:rsid w:val="00E57446"/>
    <w:rsid w:val="00E604D7"/>
    <w:rsid w:val="00E60BE6"/>
    <w:rsid w:val="00E72D00"/>
    <w:rsid w:val="00E73891"/>
    <w:rsid w:val="00E761E4"/>
    <w:rsid w:val="00E7700F"/>
    <w:rsid w:val="00E77E99"/>
    <w:rsid w:val="00E80154"/>
    <w:rsid w:val="00E9457C"/>
    <w:rsid w:val="00E958A7"/>
    <w:rsid w:val="00E9655A"/>
    <w:rsid w:val="00E97100"/>
    <w:rsid w:val="00E97A72"/>
    <w:rsid w:val="00EA61A0"/>
    <w:rsid w:val="00EB0BB4"/>
    <w:rsid w:val="00EB2B0F"/>
    <w:rsid w:val="00EB58F8"/>
    <w:rsid w:val="00EB7B06"/>
    <w:rsid w:val="00EC2980"/>
    <w:rsid w:val="00EC4040"/>
    <w:rsid w:val="00EC5EBF"/>
    <w:rsid w:val="00EC6209"/>
    <w:rsid w:val="00EC7B61"/>
    <w:rsid w:val="00ED2880"/>
    <w:rsid w:val="00ED2C82"/>
    <w:rsid w:val="00EE26FD"/>
    <w:rsid w:val="00F06948"/>
    <w:rsid w:val="00F07125"/>
    <w:rsid w:val="00F07307"/>
    <w:rsid w:val="00F14812"/>
    <w:rsid w:val="00F21D4D"/>
    <w:rsid w:val="00F22606"/>
    <w:rsid w:val="00F22EF0"/>
    <w:rsid w:val="00F26C3C"/>
    <w:rsid w:val="00F306F1"/>
    <w:rsid w:val="00F3389B"/>
    <w:rsid w:val="00F40F05"/>
    <w:rsid w:val="00F53BE8"/>
    <w:rsid w:val="00F6273F"/>
    <w:rsid w:val="00F6365F"/>
    <w:rsid w:val="00F66A6D"/>
    <w:rsid w:val="00F71EAE"/>
    <w:rsid w:val="00F72BFA"/>
    <w:rsid w:val="00F73047"/>
    <w:rsid w:val="00F801B1"/>
    <w:rsid w:val="00F84FEE"/>
    <w:rsid w:val="00F868AD"/>
    <w:rsid w:val="00F90D65"/>
    <w:rsid w:val="00F90F09"/>
    <w:rsid w:val="00F9541D"/>
    <w:rsid w:val="00F975B7"/>
    <w:rsid w:val="00FC347D"/>
    <w:rsid w:val="00FC3A67"/>
    <w:rsid w:val="00FC3FF6"/>
    <w:rsid w:val="00FC4B78"/>
    <w:rsid w:val="00FC6283"/>
    <w:rsid w:val="00FD2C51"/>
    <w:rsid w:val="00FE200E"/>
    <w:rsid w:val="00FE20B5"/>
    <w:rsid w:val="00FE7EA3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01C89"/>
  <w15:docId w15:val="{841B5CAD-6E5D-4243-93C8-6A43EFD5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0"/>
    <w:link w:val="20"/>
    <w:qFormat/>
    <w:rsid w:val="002E6185"/>
    <w:pPr>
      <w:keepNext/>
      <w:widowControl/>
      <w:spacing w:before="120"/>
      <w:jc w:val="both"/>
      <w:outlineLvl w:val="1"/>
    </w:pPr>
    <w:rPr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0"/>
      <w:ind w:left="1861" w:right="143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annotation reference"/>
    <w:basedOn w:val="a1"/>
    <w:uiPriority w:val="99"/>
    <w:semiHidden/>
    <w:unhideWhenUsed/>
    <w:rsid w:val="00C448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4486C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C4486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448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4486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C4486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C4486C"/>
    <w:rPr>
      <w:rFonts w:ascii="Segoe UI" w:eastAsia="Times New Roman" w:hAnsi="Segoe UI" w:cs="Segoe UI"/>
      <w:sz w:val="18"/>
      <w:szCs w:val="18"/>
      <w:lang w:val="ru-RU"/>
    </w:rPr>
  </w:style>
  <w:style w:type="character" w:styleId="ad">
    <w:name w:val="Hyperlink"/>
    <w:basedOn w:val="a1"/>
    <w:uiPriority w:val="99"/>
    <w:unhideWhenUsed/>
    <w:rsid w:val="00597F2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59267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041E9B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1"/>
    <w:link w:val="2"/>
    <w:rsid w:val="002E6185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f0">
    <w:name w:val="FollowedHyperlink"/>
    <w:basedOn w:val="a1"/>
    <w:uiPriority w:val="99"/>
    <w:semiHidden/>
    <w:unhideWhenUsed/>
    <w:rsid w:val="00710E50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306F1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306F1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1"/>
    <w:uiPriority w:val="99"/>
    <w:semiHidden/>
    <w:unhideWhenUsed/>
    <w:rsid w:val="00F306F1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7629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7629F1"/>
    <w:rPr>
      <w:rFonts w:ascii="Times New Roman" w:eastAsia="Times New Roman" w:hAnsi="Times New Roman" w:cs="Times New Roman"/>
      <w:lang w:val="ru-RU"/>
    </w:rPr>
  </w:style>
  <w:style w:type="paragraph" w:styleId="af6">
    <w:name w:val="footer"/>
    <w:basedOn w:val="a"/>
    <w:link w:val="af7"/>
    <w:uiPriority w:val="99"/>
    <w:unhideWhenUsed/>
    <w:rsid w:val="007629F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7629F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cb.ru/about/documents/brokerskoe-obsluzhivanie/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ww.1cb.ru/about/documents/brokerskoe-obsluzhivani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naufo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1cb.ru/about/documents/brokerskoe-obsluzhivanie/" TargetMode="External"/><Relationship Id="rId17" Type="http://schemas.openxmlformats.org/officeDocument/2006/relationships/hyperlink" Target="https://www.1cb.ru/about/documents/brokerskoe-obsluzhivanie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1cb.ru/about/documents/brokerskoe-obsluzhivanie/" TargetMode="External"/><Relationship Id="rId20" Type="http://schemas.openxmlformats.org/officeDocument/2006/relationships/hyperlink" Target="http://www.cb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1cb.ru/about/documents/brokerskoe-obsluzhivanie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1cb.ru/about/documents/brokerskoe-obsluzhivanie/" TargetMode="External"/><Relationship Id="rId23" Type="http://schemas.openxmlformats.org/officeDocument/2006/relationships/hyperlink" Target="https://www.1cb.ru/about/documents/brokerskoe-obsluzhivanie/" TargetMode="External"/><Relationship Id="rId10" Type="http://schemas.openxmlformats.org/officeDocument/2006/relationships/hyperlink" Target="https://www.1cb.ru/about/documents/brokerskoe-obsluzhivanie/" TargetMode="External"/><Relationship Id="rId19" Type="http://schemas.openxmlformats.org/officeDocument/2006/relationships/hyperlink" Target="https://www.1cb.ru/about/documents/brokerskoe-obsluzhi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1cb.ru/about/documents/brokerskoe-obsluzhivanie/" TargetMode="External"/><Relationship Id="rId14" Type="http://schemas.openxmlformats.org/officeDocument/2006/relationships/hyperlink" Target="https://www.1cb.ru/about/documents/brokerskoe-obsluzhivanie/" TargetMode="External"/><Relationship Id="rId22" Type="http://schemas.openxmlformats.org/officeDocument/2006/relationships/hyperlink" Target="https://www.1cb.ru/about/documents/brokerskoe-obsluzhiva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A473A-5614-4C6E-82ED-DF028ACF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kid_naufor.docx</vt:lpstr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kid_naufor.docx</dc:title>
  <dc:creator>"N@8= $8;8?? !0H528G</dc:creator>
  <cp:lastModifiedBy>Порох Елена Александровна</cp:lastModifiedBy>
  <cp:revision>2</cp:revision>
  <cp:lastPrinted>2024-04-26T12:17:00Z</cp:lastPrinted>
  <dcterms:created xsi:type="dcterms:W3CDTF">2024-04-27T09:11:00Z</dcterms:created>
  <dcterms:modified xsi:type="dcterms:W3CDTF">2024-04-27T09:11:00Z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LastSaved">
    <vt:filetime>2024-04-19T00:00:00Z</vt:filetime>
  </property>
  <property fmtid="{D5CDD505-2E9C-101B-9397-08002B2CF9AE}" pid="4" name="Producer">
    <vt:lpwstr>Microsoft: Print To PDF</vt:lpwstr>
  </property>
</Properties>
</file>